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7317" w14:textId="64D3BDB2" w:rsidR="008933F5" w:rsidRPr="00CC18CD" w:rsidRDefault="008933F5" w:rsidP="008933F5">
      <w:pPr>
        <w:jc w:val="center"/>
        <w:rPr>
          <w:rFonts w:ascii="Times New Roman" w:hAnsi="Times New Roman" w:cs="Times New Roman"/>
          <w:b/>
          <w:bCs/>
          <w:sz w:val="24"/>
          <w:szCs w:val="24"/>
          <w:u w:val="single"/>
        </w:rPr>
      </w:pPr>
      <w:r w:rsidRPr="00CC18CD">
        <w:rPr>
          <w:rFonts w:ascii="Times New Roman" w:hAnsi="Times New Roman" w:cs="Times New Roman"/>
          <w:b/>
          <w:bCs/>
          <w:sz w:val="24"/>
          <w:szCs w:val="24"/>
          <w:u w:val="single"/>
        </w:rPr>
        <w:t>Instructions for using the G</w:t>
      </w:r>
      <w:r w:rsidR="003E2E90" w:rsidRPr="00CC18CD">
        <w:rPr>
          <w:rFonts w:ascii="Times New Roman" w:hAnsi="Times New Roman" w:cs="Times New Roman"/>
          <w:b/>
          <w:bCs/>
          <w:sz w:val="24"/>
          <w:szCs w:val="24"/>
          <w:u w:val="single"/>
        </w:rPr>
        <w:t>ender Affirming Surgery</w:t>
      </w:r>
      <w:r w:rsidRPr="00CC18CD">
        <w:rPr>
          <w:rFonts w:ascii="Times New Roman" w:hAnsi="Times New Roman" w:cs="Times New Roman"/>
          <w:b/>
          <w:bCs/>
          <w:sz w:val="24"/>
          <w:szCs w:val="24"/>
          <w:u w:val="single"/>
        </w:rPr>
        <w:t xml:space="preserve"> Appeal </w:t>
      </w:r>
      <w:r w:rsidR="003E2E90" w:rsidRPr="00CC18CD">
        <w:rPr>
          <w:rFonts w:ascii="Times New Roman" w:hAnsi="Times New Roman" w:cs="Times New Roman"/>
          <w:b/>
          <w:bCs/>
          <w:sz w:val="24"/>
          <w:szCs w:val="24"/>
          <w:u w:val="single"/>
        </w:rPr>
        <w:t>Template</w:t>
      </w:r>
    </w:p>
    <w:p w14:paraId="5509DFDE" w14:textId="77777777" w:rsidR="008933F5" w:rsidRPr="00CC18CD" w:rsidRDefault="008933F5" w:rsidP="008933F5">
      <w:pPr>
        <w:spacing w:after="0" w:line="240" w:lineRule="auto"/>
        <w:jc w:val="left"/>
        <w:rPr>
          <w:rFonts w:ascii="Times New Roman" w:hAnsi="Times New Roman" w:cs="Times New Roman"/>
          <w:sz w:val="24"/>
          <w:szCs w:val="24"/>
        </w:rPr>
      </w:pPr>
    </w:p>
    <w:p w14:paraId="76DE2F6C" w14:textId="77777777" w:rsidR="008933F5" w:rsidRPr="00CC18CD" w:rsidRDefault="008933F5" w:rsidP="008933F5">
      <w:pPr>
        <w:spacing w:after="0" w:line="240" w:lineRule="auto"/>
        <w:jc w:val="left"/>
        <w:rPr>
          <w:rFonts w:ascii="Times New Roman" w:hAnsi="Times New Roman" w:cs="Times New Roman"/>
          <w:sz w:val="24"/>
          <w:szCs w:val="24"/>
        </w:rPr>
      </w:pPr>
      <w:r w:rsidRPr="00CC18CD">
        <w:rPr>
          <w:rFonts w:ascii="Times New Roman" w:hAnsi="Times New Roman" w:cs="Times New Roman"/>
          <w:sz w:val="24"/>
          <w:szCs w:val="24"/>
        </w:rPr>
        <w:t>Dear community member,</w:t>
      </w:r>
    </w:p>
    <w:p w14:paraId="3965ADA3" w14:textId="77777777" w:rsidR="008933F5" w:rsidRPr="00CC18CD" w:rsidRDefault="008933F5" w:rsidP="008933F5">
      <w:pPr>
        <w:spacing w:after="0" w:line="240" w:lineRule="auto"/>
        <w:jc w:val="left"/>
        <w:rPr>
          <w:rFonts w:ascii="Times New Roman" w:hAnsi="Times New Roman" w:cs="Times New Roman"/>
          <w:sz w:val="24"/>
          <w:szCs w:val="24"/>
        </w:rPr>
      </w:pPr>
    </w:p>
    <w:p w14:paraId="060BE144" w14:textId="77777777" w:rsidR="008933F5" w:rsidRPr="00CC18CD" w:rsidRDefault="008933F5" w:rsidP="00E55CB6">
      <w:pPr>
        <w:spacing w:after="0"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Thank you for using our online template to complete your health insurance appeal. </w:t>
      </w:r>
    </w:p>
    <w:p w14:paraId="44CE3207" w14:textId="2FFFDE9C" w:rsidR="008933F5" w:rsidRPr="00CC18CD" w:rsidRDefault="008933F5" w:rsidP="008933F5">
      <w:pPr>
        <w:spacing w:after="0" w:line="240" w:lineRule="auto"/>
        <w:jc w:val="left"/>
        <w:rPr>
          <w:rStyle w:val="Hyperlink"/>
          <w:rFonts w:ascii="Times New Roman" w:hAnsi="Times New Roman" w:cs="Times New Roman"/>
          <w:sz w:val="24"/>
          <w:szCs w:val="24"/>
        </w:rPr>
      </w:pPr>
      <w:r w:rsidRPr="00CC18CD">
        <w:rPr>
          <w:rFonts w:ascii="Times New Roman" w:hAnsi="Times New Roman" w:cs="Times New Roman"/>
          <w:sz w:val="24"/>
          <w:szCs w:val="24"/>
        </w:rPr>
        <w:t xml:space="preserve">To learn more about the health insurance appeal process, please visit our website at </w:t>
      </w:r>
      <w:hyperlink r:id="rId7" w:history="1">
        <w:r w:rsidRPr="00CC18CD">
          <w:rPr>
            <w:rStyle w:val="Hyperlink"/>
            <w:rFonts w:ascii="Times New Roman" w:hAnsi="Times New Roman" w:cs="Times New Roman"/>
            <w:sz w:val="24"/>
            <w:szCs w:val="24"/>
          </w:rPr>
          <w:t>https://transhealthproject.org/</w:t>
        </w:r>
      </w:hyperlink>
    </w:p>
    <w:p w14:paraId="1CFD7003" w14:textId="77777777" w:rsidR="009E3C92" w:rsidRPr="00CC18CD" w:rsidRDefault="009E3C92" w:rsidP="008933F5">
      <w:pPr>
        <w:spacing w:after="0" w:line="240" w:lineRule="auto"/>
        <w:jc w:val="left"/>
        <w:rPr>
          <w:rStyle w:val="Hyperlink"/>
          <w:rFonts w:ascii="Times New Roman" w:hAnsi="Times New Roman" w:cs="Times New Roman"/>
          <w:sz w:val="24"/>
          <w:szCs w:val="24"/>
        </w:rPr>
      </w:pPr>
    </w:p>
    <w:p w14:paraId="638B1E7D" w14:textId="0B20EE8C" w:rsidR="009E3C92" w:rsidRPr="00CC18CD" w:rsidRDefault="009E3C92" w:rsidP="009E3C92">
      <w:pPr>
        <w:rPr>
          <w:rFonts w:ascii="Times New Roman" w:hAnsi="Times New Roman" w:cs="Times New Roman"/>
          <w:sz w:val="24"/>
          <w:szCs w:val="24"/>
        </w:rPr>
      </w:pPr>
      <w:r w:rsidRPr="00CC18CD">
        <w:rPr>
          <w:rFonts w:ascii="Times New Roman" w:hAnsi="Times New Roman" w:cs="Times New Roman"/>
          <w:sz w:val="24"/>
          <w:szCs w:val="24"/>
        </w:rPr>
        <w:t>Please note you are responsible for using this template to write your own appeal. THP cannot write, review, edit, or file the appeal on your behalf.</w:t>
      </w:r>
    </w:p>
    <w:p w14:paraId="6B1D9CF7" w14:textId="77777777" w:rsidR="009E3C92" w:rsidRPr="00CC18CD" w:rsidRDefault="009E3C92" w:rsidP="009E3C92">
      <w:pPr>
        <w:rPr>
          <w:rFonts w:ascii="Times New Roman" w:hAnsi="Times New Roman" w:cs="Times New Roman"/>
          <w:sz w:val="24"/>
          <w:szCs w:val="24"/>
        </w:rPr>
      </w:pPr>
      <w:r w:rsidRPr="00CC18CD">
        <w:rPr>
          <w:rFonts w:ascii="Times New Roman" w:hAnsi="Times New Roman" w:cs="Times New Roman"/>
          <w:sz w:val="24"/>
          <w:szCs w:val="24"/>
        </w:rPr>
        <w:t>Furthermore, please take care to review any deadlines to file the appeal, and any subsequent appeal. It is your responsibility to file an appeal by the deadline.  If you do not file the appeal(s) by the deadline, your appeal rights may be forfeit and you may lose any further chance to appeal the health insurance plan’s decision to deny you care.</w:t>
      </w:r>
    </w:p>
    <w:p w14:paraId="52961AB3" w14:textId="779A3A07" w:rsidR="009E3C92" w:rsidRPr="00CC18CD" w:rsidRDefault="009E3C92" w:rsidP="00CC18CD">
      <w:pPr>
        <w:rPr>
          <w:rFonts w:ascii="Times New Roman" w:hAnsi="Times New Roman" w:cs="Times New Roman"/>
          <w:sz w:val="24"/>
          <w:szCs w:val="24"/>
        </w:rPr>
      </w:pPr>
      <w:r w:rsidRPr="00CC18CD">
        <w:rPr>
          <w:rFonts w:ascii="Times New Roman" w:hAnsi="Times New Roman" w:cs="Times New Roman"/>
          <w:b/>
          <w:bCs/>
          <w:i/>
          <w:iCs/>
          <w:color w:val="000000"/>
          <w:sz w:val="24"/>
          <w:szCs w:val="24"/>
          <w:shd w:val="clear" w:color="auto" w:fill="FFFFFF"/>
        </w:rPr>
        <w:t xml:space="preserve">*Please note that the above is not legal advice and </w:t>
      </w:r>
      <w:r w:rsidR="00CC18CD">
        <w:rPr>
          <w:rFonts w:ascii="Times New Roman" w:hAnsi="Times New Roman" w:cs="Times New Roman"/>
          <w:b/>
          <w:bCs/>
          <w:i/>
          <w:iCs/>
          <w:color w:val="000000"/>
          <w:sz w:val="24"/>
          <w:szCs w:val="24"/>
          <w:shd w:val="clear" w:color="auto" w:fill="FFFFFF"/>
        </w:rPr>
        <w:t xml:space="preserve">the use of this template </w:t>
      </w:r>
      <w:r w:rsidRPr="00CC18CD">
        <w:rPr>
          <w:rFonts w:ascii="Times New Roman" w:hAnsi="Times New Roman" w:cs="Times New Roman"/>
          <w:b/>
          <w:bCs/>
          <w:i/>
          <w:iCs/>
          <w:color w:val="000000"/>
          <w:sz w:val="24"/>
          <w:szCs w:val="24"/>
          <w:shd w:val="clear" w:color="auto" w:fill="FFFFFF"/>
        </w:rPr>
        <w:t xml:space="preserve">does not create an attorney-client relationship between you and </w:t>
      </w:r>
      <w:r w:rsidR="0044200C">
        <w:rPr>
          <w:rFonts w:ascii="Times New Roman" w:hAnsi="Times New Roman" w:cs="Times New Roman"/>
          <w:b/>
          <w:bCs/>
          <w:i/>
          <w:iCs/>
          <w:color w:val="000000"/>
          <w:sz w:val="24"/>
          <w:szCs w:val="24"/>
          <w:shd w:val="clear" w:color="auto" w:fill="FFFFFF"/>
        </w:rPr>
        <w:t>THP/A4TE</w:t>
      </w:r>
      <w:r w:rsidRPr="00CC18CD">
        <w:rPr>
          <w:rFonts w:ascii="Times New Roman" w:hAnsi="Times New Roman" w:cs="Times New Roman"/>
          <w:b/>
          <w:bCs/>
          <w:color w:val="000000"/>
          <w:sz w:val="24"/>
          <w:szCs w:val="24"/>
          <w:shd w:val="clear" w:color="auto" w:fill="FFFFFF"/>
        </w:rPr>
        <w:t>*</w:t>
      </w:r>
    </w:p>
    <w:p w14:paraId="5F439F58" w14:textId="77777777" w:rsidR="008933F5" w:rsidRPr="00CC18CD" w:rsidRDefault="008933F5" w:rsidP="008933F5">
      <w:pPr>
        <w:spacing w:after="0" w:line="240" w:lineRule="auto"/>
        <w:jc w:val="left"/>
        <w:rPr>
          <w:rFonts w:ascii="Times New Roman" w:hAnsi="Times New Roman" w:cs="Times New Roman"/>
          <w:sz w:val="24"/>
          <w:szCs w:val="24"/>
        </w:rPr>
      </w:pPr>
    </w:p>
    <w:p w14:paraId="0E26D0C2" w14:textId="22402DAE" w:rsidR="008933F5" w:rsidRPr="00CC18CD" w:rsidRDefault="008933F5" w:rsidP="0044200C">
      <w:pPr>
        <w:spacing w:after="0" w:line="240" w:lineRule="auto"/>
        <w:jc w:val="left"/>
        <w:rPr>
          <w:rFonts w:ascii="Times New Roman" w:hAnsi="Times New Roman" w:cs="Times New Roman"/>
          <w:b/>
          <w:bCs/>
          <w:sz w:val="24"/>
          <w:szCs w:val="24"/>
        </w:rPr>
      </w:pPr>
      <w:r w:rsidRPr="00CC18CD">
        <w:rPr>
          <w:rFonts w:ascii="Times New Roman" w:hAnsi="Times New Roman" w:cs="Times New Roman"/>
          <w:b/>
          <w:bCs/>
          <w:sz w:val="24"/>
          <w:szCs w:val="24"/>
        </w:rPr>
        <w:t>Please read these instructions before attempting to use the template</w:t>
      </w:r>
      <w:r w:rsidR="00FC2BAD" w:rsidRPr="00CC18CD">
        <w:rPr>
          <w:rFonts w:ascii="Times New Roman" w:hAnsi="Times New Roman" w:cs="Times New Roman"/>
          <w:b/>
          <w:bCs/>
          <w:sz w:val="24"/>
          <w:szCs w:val="24"/>
        </w:rPr>
        <w:t>:</w:t>
      </w:r>
    </w:p>
    <w:p w14:paraId="13A1E493" w14:textId="77777777" w:rsidR="00FC2BAD" w:rsidRPr="00CC18CD" w:rsidRDefault="00FC2BAD" w:rsidP="0044200C">
      <w:pPr>
        <w:spacing w:after="0" w:line="240" w:lineRule="auto"/>
        <w:jc w:val="left"/>
        <w:rPr>
          <w:rFonts w:ascii="Times New Roman" w:hAnsi="Times New Roman" w:cs="Times New Roman"/>
          <w:sz w:val="24"/>
          <w:szCs w:val="24"/>
        </w:rPr>
      </w:pPr>
    </w:p>
    <w:p w14:paraId="515D8D7D" w14:textId="6767FBB4" w:rsidR="0044200C" w:rsidRPr="0044200C" w:rsidRDefault="008933F5"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 xml:space="preserve">Text </w:t>
      </w:r>
      <w:r w:rsidRPr="00CC18CD">
        <w:rPr>
          <w:rFonts w:ascii="Times New Roman" w:hAnsi="Times New Roman" w:cs="Times New Roman"/>
          <w:sz w:val="24"/>
          <w:szCs w:val="24"/>
          <w:highlight w:val="yellow"/>
        </w:rPr>
        <w:t>highlighted in yellow</w:t>
      </w:r>
      <w:r w:rsidRPr="00CC18CD">
        <w:rPr>
          <w:rFonts w:ascii="Times New Roman" w:hAnsi="Times New Roman" w:cs="Times New Roman"/>
          <w:sz w:val="24"/>
          <w:szCs w:val="24"/>
        </w:rPr>
        <w:t xml:space="preserve"> </w:t>
      </w:r>
      <w:r w:rsidR="00E55CB6" w:rsidRPr="00CC18CD">
        <w:rPr>
          <w:rFonts w:ascii="Times New Roman" w:hAnsi="Times New Roman" w:cs="Times New Roman"/>
          <w:sz w:val="24"/>
          <w:szCs w:val="24"/>
        </w:rPr>
        <w:t xml:space="preserve">should be replaced </w:t>
      </w:r>
      <w:r w:rsidR="00DC44D2" w:rsidRPr="00CC18CD">
        <w:rPr>
          <w:rFonts w:ascii="Times New Roman" w:hAnsi="Times New Roman" w:cs="Times New Roman"/>
          <w:sz w:val="24"/>
          <w:szCs w:val="24"/>
        </w:rPr>
        <w:t xml:space="preserve">by information relevant to your own </w:t>
      </w:r>
      <w:proofErr w:type="gramStart"/>
      <w:r w:rsidR="00DC44D2" w:rsidRPr="00CC18CD">
        <w:rPr>
          <w:rFonts w:ascii="Times New Roman" w:hAnsi="Times New Roman" w:cs="Times New Roman"/>
          <w:sz w:val="24"/>
          <w:szCs w:val="24"/>
        </w:rPr>
        <w:t xml:space="preserve">particular </w:t>
      </w:r>
      <w:r w:rsidR="00E217AF" w:rsidRPr="00CC18CD">
        <w:rPr>
          <w:rFonts w:ascii="Times New Roman" w:hAnsi="Times New Roman" w:cs="Times New Roman"/>
          <w:sz w:val="24"/>
          <w:szCs w:val="24"/>
        </w:rPr>
        <w:t>situation</w:t>
      </w:r>
      <w:proofErr w:type="gramEnd"/>
      <w:r w:rsidR="00E217AF" w:rsidRPr="00CC18CD">
        <w:rPr>
          <w:rFonts w:ascii="Times New Roman" w:hAnsi="Times New Roman" w:cs="Times New Roman"/>
          <w:sz w:val="24"/>
          <w:szCs w:val="24"/>
        </w:rPr>
        <w:t>.</w:t>
      </w:r>
      <w:r w:rsidR="007F7B20" w:rsidRPr="00CC18CD">
        <w:rPr>
          <w:rFonts w:ascii="Times New Roman" w:hAnsi="Times New Roman" w:cs="Times New Roman"/>
          <w:sz w:val="24"/>
          <w:szCs w:val="24"/>
        </w:rPr>
        <w:t xml:space="preserve"> </w:t>
      </w:r>
    </w:p>
    <w:p w14:paraId="7B4278B2" w14:textId="45E748E1" w:rsidR="007F7B20" w:rsidRPr="0044200C" w:rsidRDefault="00E217AF"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We have also included instructions &amp;</w:t>
      </w:r>
      <w:r w:rsidR="007F7B20" w:rsidRPr="00CC18CD">
        <w:rPr>
          <w:rFonts w:ascii="Times New Roman" w:hAnsi="Times New Roman" w:cs="Times New Roman"/>
          <w:sz w:val="24"/>
          <w:szCs w:val="24"/>
        </w:rPr>
        <w:t xml:space="preserve"> </w:t>
      </w:r>
      <w:r w:rsidRPr="00CC18CD">
        <w:rPr>
          <w:rFonts w:ascii="Times New Roman" w:hAnsi="Times New Roman" w:cs="Times New Roman"/>
          <w:sz w:val="24"/>
          <w:szCs w:val="24"/>
        </w:rPr>
        <w:t xml:space="preserve">descriptions of the type of information you should be putting in each section, </w:t>
      </w:r>
      <w:r w:rsidR="007F7B20" w:rsidRPr="00CC18CD">
        <w:rPr>
          <w:rFonts w:ascii="Times New Roman" w:hAnsi="Times New Roman" w:cs="Times New Roman"/>
          <w:sz w:val="24"/>
          <w:szCs w:val="24"/>
          <w:highlight w:val="green"/>
        </w:rPr>
        <w:t xml:space="preserve">highlighted in </w:t>
      </w:r>
      <w:r w:rsidR="004F2B78" w:rsidRPr="00CC18CD">
        <w:rPr>
          <w:rFonts w:ascii="Times New Roman" w:hAnsi="Times New Roman" w:cs="Times New Roman"/>
          <w:sz w:val="24"/>
          <w:szCs w:val="24"/>
          <w:highlight w:val="green"/>
        </w:rPr>
        <w:t>green</w:t>
      </w:r>
    </w:p>
    <w:p w14:paraId="47B6CDB7" w14:textId="1AA2418C" w:rsidR="004A01F5" w:rsidRPr="0044200C" w:rsidRDefault="007F7B20"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Please check that all</w:t>
      </w:r>
      <w:r w:rsidR="004F2B78" w:rsidRPr="00CC18CD">
        <w:rPr>
          <w:rFonts w:ascii="Times New Roman" w:hAnsi="Times New Roman" w:cs="Times New Roman"/>
          <w:sz w:val="24"/>
          <w:szCs w:val="24"/>
        </w:rPr>
        <w:t xml:space="preserve"> </w:t>
      </w:r>
      <w:proofErr w:type="gramStart"/>
      <w:r w:rsidR="004F2B78" w:rsidRPr="00CC18CD">
        <w:rPr>
          <w:rFonts w:ascii="Times New Roman" w:hAnsi="Times New Roman" w:cs="Times New Roman"/>
          <w:sz w:val="24"/>
          <w:szCs w:val="24"/>
        </w:rPr>
        <w:t xml:space="preserve">text </w:t>
      </w:r>
      <w:r w:rsidRPr="00CC18CD">
        <w:rPr>
          <w:rFonts w:ascii="Times New Roman" w:hAnsi="Times New Roman" w:cs="Times New Roman"/>
          <w:sz w:val="24"/>
          <w:szCs w:val="24"/>
        </w:rPr>
        <w:t xml:space="preserve"> highlighted</w:t>
      </w:r>
      <w:proofErr w:type="gramEnd"/>
      <w:r w:rsidRPr="00CC18CD">
        <w:rPr>
          <w:rFonts w:ascii="Times New Roman" w:hAnsi="Times New Roman" w:cs="Times New Roman"/>
          <w:sz w:val="24"/>
          <w:szCs w:val="24"/>
        </w:rPr>
        <w:t xml:space="preserve"> in </w:t>
      </w:r>
      <w:r w:rsidRPr="00CC18CD">
        <w:rPr>
          <w:rFonts w:ascii="Times New Roman" w:hAnsi="Times New Roman" w:cs="Times New Roman"/>
          <w:sz w:val="24"/>
          <w:szCs w:val="24"/>
          <w:highlight w:val="yellow"/>
        </w:rPr>
        <w:t>yellow</w:t>
      </w:r>
      <w:r w:rsidRPr="00CC18CD">
        <w:rPr>
          <w:rFonts w:ascii="Times New Roman" w:hAnsi="Times New Roman" w:cs="Times New Roman"/>
          <w:sz w:val="24"/>
          <w:szCs w:val="24"/>
        </w:rPr>
        <w:t xml:space="preserve"> </w:t>
      </w:r>
      <w:r w:rsidR="004F2B78" w:rsidRPr="00CC18CD">
        <w:rPr>
          <w:rFonts w:ascii="Times New Roman" w:hAnsi="Times New Roman" w:cs="Times New Roman"/>
          <w:sz w:val="24"/>
          <w:szCs w:val="24"/>
        </w:rPr>
        <w:t xml:space="preserve">&amp; </w:t>
      </w:r>
      <w:r w:rsidR="004F2B78" w:rsidRPr="00CC18CD">
        <w:rPr>
          <w:rFonts w:ascii="Times New Roman" w:hAnsi="Times New Roman" w:cs="Times New Roman"/>
          <w:sz w:val="24"/>
          <w:szCs w:val="24"/>
          <w:highlight w:val="green"/>
        </w:rPr>
        <w:t>green</w:t>
      </w:r>
      <w:r w:rsidR="004F2B78" w:rsidRPr="00CC18CD">
        <w:rPr>
          <w:rFonts w:ascii="Times New Roman" w:hAnsi="Times New Roman" w:cs="Times New Roman"/>
          <w:sz w:val="24"/>
          <w:szCs w:val="24"/>
        </w:rPr>
        <w:t xml:space="preserve"> </w:t>
      </w:r>
      <w:r w:rsidRPr="00CC18CD">
        <w:rPr>
          <w:rFonts w:ascii="Times New Roman" w:hAnsi="Times New Roman" w:cs="Times New Roman"/>
          <w:sz w:val="24"/>
          <w:szCs w:val="24"/>
        </w:rPr>
        <w:t xml:space="preserve"> has been replaced/deleted </w:t>
      </w:r>
      <w:r w:rsidR="004A01F5" w:rsidRPr="00CC18CD">
        <w:rPr>
          <w:rFonts w:ascii="Times New Roman" w:hAnsi="Times New Roman" w:cs="Times New Roman"/>
          <w:sz w:val="24"/>
          <w:szCs w:val="24"/>
        </w:rPr>
        <w:t>before you send the appeal.</w:t>
      </w:r>
    </w:p>
    <w:p w14:paraId="48AFB965" w14:textId="06FF87D1" w:rsidR="008933F5" w:rsidRPr="0044200C" w:rsidRDefault="004A01F5"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 xml:space="preserve">You are free to </w:t>
      </w:r>
      <w:r w:rsidR="00407FE7" w:rsidRPr="00CC18CD">
        <w:rPr>
          <w:rFonts w:ascii="Times New Roman" w:hAnsi="Times New Roman" w:cs="Times New Roman"/>
          <w:sz w:val="24"/>
          <w:szCs w:val="24"/>
        </w:rPr>
        <w:t xml:space="preserve">add, </w:t>
      </w:r>
      <w:r w:rsidRPr="00CC18CD">
        <w:rPr>
          <w:rFonts w:ascii="Times New Roman" w:hAnsi="Times New Roman" w:cs="Times New Roman"/>
          <w:sz w:val="24"/>
          <w:szCs w:val="24"/>
        </w:rPr>
        <w:t xml:space="preserve">edit, rearrange, or delete any </w:t>
      </w:r>
      <w:r w:rsidR="00FC2BAD" w:rsidRPr="00CC18CD">
        <w:rPr>
          <w:rFonts w:ascii="Times New Roman" w:hAnsi="Times New Roman" w:cs="Times New Roman"/>
          <w:sz w:val="24"/>
          <w:szCs w:val="24"/>
        </w:rPr>
        <w:t>portion of the appeal</w:t>
      </w:r>
      <w:r w:rsidRPr="00CC18CD">
        <w:rPr>
          <w:rFonts w:ascii="Times New Roman" w:hAnsi="Times New Roman" w:cs="Times New Roman"/>
          <w:sz w:val="24"/>
          <w:szCs w:val="24"/>
        </w:rPr>
        <w:t xml:space="preserve"> </w:t>
      </w:r>
      <w:r w:rsidR="00407FE7" w:rsidRPr="00CC18CD">
        <w:rPr>
          <w:rFonts w:ascii="Times New Roman" w:hAnsi="Times New Roman" w:cs="Times New Roman"/>
          <w:sz w:val="24"/>
          <w:szCs w:val="24"/>
        </w:rPr>
        <w:t>as you see fit</w:t>
      </w:r>
      <w:r w:rsidR="00FC2BAD" w:rsidRPr="00CC18CD">
        <w:rPr>
          <w:rFonts w:ascii="Times New Roman" w:hAnsi="Times New Roman" w:cs="Times New Roman"/>
          <w:sz w:val="24"/>
          <w:szCs w:val="24"/>
        </w:rPr>
        <w:t>.</w:t>
      </w:r>
    </w:p>
    <w:p w14:paraId="2527F358" w14:textId="4B197760" w:rsidR="00FC2BAD" w:rsidRPr="0044200C" w:rsidRDefault="000959A6"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For the insurance company information</w:t>
      </w:r>
      <w:r w:rsidR="004447F5" w:rsidRPr="00CC18CD">
        <w:rPr>
          <w:rFonts w:ascii="Times New Roman" w:hAnsi="Times New Roman" w:cs="Times New Roman"/>
          <w:sz w:val="24"/>
          <w:szCs w:val="24"/>
        </w:rPr>
        <w:t xml:space="preserve"> header</w:t>
      </w:r>
      <w:r w:rsidRPr="00CC18CD">
        <w:rPr>
          <w:rFonts w:ascii="Times New Roman" w:hAnsi="Times New Roman" w:cs="Times New Roman"/>
          <w:sz w:val="24"/>
          <w:szCs w:val="24"/>
        </w:rPr>
        <w:t xml:space="preserve">, please look at either your denial letter or your plan policy’s section on appealing denials. This is usually at the end of the policy. It should include an address and the name of the administrator that the appeal should be addressed to. </w:t>
      </w:r>
    </w:p>
    <w:p w14:paraId="237C2704" w14:textId="1517A5BB" w:rsidR="009366A4" w:rsidRPr="0044200C" w:rsidRDefault="000959A6"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 xml:space="preserve">If the denial letter and your plan policy give you different addresses, or you cannot find this information, please call your health plan or your HR department if you get your health insurance from your employer. </w:t>
      </w:r>
    </w:p>
    <w:p w14:paraId="18A17B7B" w14:textId="04D44FDC" w:rsidR="000959A6" w:rsidRPr="00CC18CD" w:rsidRDefault="000959A6" w:rsidP="0044200C">
      <w:pPr>
        <w:pStyle w:val="ListParagraph"/>
        <w:numPr>
          <w:ilvl w:val="0"/>
          <w:numId w:val="5"/>
        </w:numPr>
        <w:spacing w:before="120" w:after="120" w:line="240" w:lineRule="auto"/>
        <w:contextualSpacing w:val="0"/>
        <w:rPr>
          <w:rFonts w:ascii="Times New Roman" w:hAnsi="Times New Roman" w:cs="Times New Roman"/>
          <w:sz w:val="24"/>
          <w:szCs w:val="24"/>
        </w:rPr>
      </w:pPr>
      <w:r w:rsidRPr="00CC18CD">
        <w:rPr>
          <w:rFonts w:ascii="Times New Roman" w:hAnsi="Times New Roman" w:cs="Times New Roman"/>
          <w:sz w:val="24"/>
          <w:szCs w:val="24"/>
        </w:rPr>
        <w:t>Information for the member section should be found in your denial letter. You can get this information from your medical provider if you cannot find it.</w:t>
      </w:r>
    </w:p>
    <w:p w14:paraId="3C8EDC1D" w14:textId="4AC11E88" w:rsidR="002F648F" w:rsidRPr="00CC18CD" w:rsidRDefault="002F648F" w:rsidP="000959A6">
      <w:pPr>
        <w:spacing w:line="259" w:lineRule="auto"/>
        <w:jc w:val="left"/>
        <w:rPr>
          <w:rFonts w:ascii="Times New Roman" w:hAnsi="Times New Roman" w:cs="Times New Roman"/>
          <w:sz w:val="24"/>
          <w:szCs w:val="24"/>
        </w:rPr>
      </w:pPr>
    </w:p>
    <w:p w14:paraId="75D07334" w14:textId="77777777" w:rsidR="002F648F" w:rsidRPr="00CC18CD" w:rsidRDefault="002F648F" w:rsidP="002F648F">
      <w:pPr>
        <w:spacing w:line="240" w:lineRule="auto"/>
        <w:jc w:val="left"/>
        <w:rPr>
          <w:rFonts w:ascii="Times New Roman" w:hAnsi="Times New Roman" w:cs="Times New Roman"/>
          <w:sz w:val="24"/>
          <w:szCs w:val="24"/>
        </w:rPr>
      </w:pPr>
      <w:bookmarkStart w:id="0" w:name="_Hlk152766830"/>
      <w:r w:rsidRPr="00CC18CD">
        <w:rPr>
          <w:rFonts w:ascii="Times New Roman" w:hAnsi="Times New Roman" w:cs="Times New Roman"/>
          <w:sz w:val="24"/>
          <w:szCs w:val="24"/>
          <w:highlight w:val="yellow"/>
        </w:rPr>
        <w:t>Date</w:t>
      </w:r>
    </w:p>
    <w:p w14:paraId="58E09217" w14:textId="77777777" w:rsidR="002F648F" w:rsidRPr="00CC18CD" w:rsidRDefault="002F648F" w:rsidP="002F648F">
      <w:pPr>
        <w:spacing w:line="240" w:lineRule="auto"/>
        <w:jc w:val="left"/>
        <w:rPr>
          <w:rFonts w:ascii="Times New Roman" w:hAnsi="Times New Roman" w:cs="Times New Roman"/>
          <w:sz w:val="24"/>
          <w:szCs w:val="24"/>
        </w:rPr>
      </w:pPr>
    </w:p>
    <w:p w14:paraId="3A517477" w14:textId="77777777" w:rsidR="002F648F" w:rsidRPr="00CC18CD" w:rsidRDefault="002F648F" w:rsidP="002F648F">
      <w:pPr>
        <w:spacing w:line="240" w:lineRule="auto"/>
        <w:jc w:val="left"/>
        <w:rPr>
          <w:rFonts w:ascii="Times New Roman" w:hAnsi="Times New Roman" w:cs="Times New Roman"/>
          <w:i/>
          <w:iCs/>
          <w:sz w:val="24"/>
          <w:szCs w:val="24"/>
        </w:rPr>
      </w:pPr>
      <w:r w:rsidRPr="00CC18CD">
        <w:rPr>
          <w:rFonts w:ascii="Times New Roman" w:hAnsi="Times New Roman" w:cs="Times New Roman"/>
          <w:i/>
          <w:iCs/>
          <w:sz w:val="24"/>
          <w:szCs w:val="24"/>
        </w:rPr>
        <w:lastRenderedPageBreak/>
        <w:t xml:space="preserve">Sent via </w:t>
      </w:r>
      <w:r w:rsidRPr="00CC18CD">
        <w:rPr>
          <w:rFonts w:ascii="Times New Roman" w:hAnsi="Times New Roman" w:cs="Times New Roman"/>
          <w:i/>
          <w:iCs/>
          <w:sz w:val="24"/>
          <w:szCs w:val="24"/>
          <w:highlight w:val="yellow"/>
        </w:rPr>
        <w:t>Fax/E-Mail/Mail</w:t>
      </w:r>
    </w:p>
    <w:p w14:paraId="61EDD996" w14:textId="77777777" w:rsidR="002F648F" w:rsidRPr="00CC18CD" w:rsidRDefault="002F648F" w:rsidP="002F648F">
      <w:pPr>
        <w:spacing w:line="240" w:lineRule="auto"/>
        <w:jc w:val="left"/>
        <w:rPr>
          <w:rFonts w:ascii="Times New Roman" w:hAnsi="Times New Roman" w:cs="Times New Roman"/>
          <w:sz w:val="24"/>
          <w:szCs w:val="24"/>
        </w:rPr>
      </w:pPr>
    </w:p>
    <w:p w14:paraId="7CC13FF5" w14:textId="77777777" w:rsidR="002F648F" w:rsidRPr="00CC18CD" w:rsidRDefault="002F648F" w:rsidP="002F648F">
      <w:pPr>
        <w:spacing w:line="240" w:lineRule="auto"/>
        <w:jc w:val="left"/>
        <w:rPr>
          <w:rFonts w:ascii="Times New Roman" w:hAnsi="Times New Roman" w:cs="Times New Roman"/>
          <w:sz w:val="24"/>
          <w:szCs w:val="24"/>
          <w:highlight w:val="yellow"/>
        </w:rPr>
      </w:pPr>
      <w:r w:rsidRPr="00CC18CD">
        <w:rPr>
          <w:rFonts w:ascii="Times New Roman" w:hAnsi="Times New Roman" w:cs="Times New Roman"/>
          <w:sz w:val="24"/>
          <w:szCs w:val="24"/>
          <w:highlight w:val="yellow"/>
        </w:rPr>
        <w:t>Insurance Company</w:t>
      </w:r>
    </w:p>
    <w:p w14:paraId="1CBF8C7F" w14:textId="77777777" w:rsidR="002F648F" w:rsidRPr="00CC18CD" w:rsidRDefault="002F648F" w:rsidP="002F648F">
      <w:pPr>
        <w:spacing w:line="240" w:lineRule="auto"/>
        <w:jc w:val="left"/>
        <w:rPr>
          <w:rFonts w:ascii="Times New Roman" w:hAnsi="Times New Roman" w:cs="Times New Roman"/>
          <w:sz w:val="24"/>
          <w:szCs w:val="24"/>
          <w:highlight w:val="yellow"/>
        </w:rPr>
      </w:pPr>
      <w:r w:rsidRPr="00CC18CD">
        <w:rPr>
          <w:rFonts w:ascii="Times New Roman" w:hAnsi="Times New Roman" w:cs="Times New Roman"/>
          <w:sz w:val="24"/>
          <w:szCs w:val="24"/>
          <w:highlight w:val="yellow"/>
        </w:rPr>
        <w:t>Address One</w:t>
      </w:r>
    </w:p>
    <w:p w14:paraId="7B7DAC97" w14:textId="77777777" w:rsidR="002F648F" w:rsidRPr="00CC18CD" w:rsidRDefault="002F648F" w:rsidP="002F648F">
      <w:pPr>
        <w:pStyle w:val="Body"/>
      </w:pPr>
      <w:r w:rsidRPr="00CC18CD">
        <w:rPr>
          <w:highlight w:val="yellow"/>
        </w:rPr>
        <w:t>Address Two</w:t>
      </w:r>
    </w:p>
    <w:p w14:paraId="1F530F80" w14:textId="77777777" w:rsidR="002F648F" w:rsidRPr="00CC18CD" w:rsidRDefault="002F648F" w:rsidP="002F648F">
      <w:pPr>
        <w:pStyle w:val="Body"/>
      </w:pPr>
      <w:r w:rsidRPr="00CC18CD">
        <w:rPr>
          <w:highlight w:val="yellow"/>
        </w:rPr>
        <w:t xml:space="preserve">Fax/E-mail: Fax number or email address </w:t>
      </w:r>
      <w:r w:rsidRPr="00CC18CD">
        <w:rPr>
          <w:highlight w:val="green"/>
        </w:rPr>
        <w:t>[call your plan to confirm this is the right number or email and call again after sending to confirm the plan received it]</w:t>
      </w:r>
    </w:p>
    <w:p w14:paraId="508651AE"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RE: </w:t>
      </w:r>
      <w:r w:rsidRPr="00CC18CD">
        <w:rPr>
          <w:rFonts w:ascii="Times New Roman" w:hAnsi="Times New Roman" w:cs="Times New Roman"/>
          <w:sz w:val="24"/>
          <w:szCs w:val="24"/>
          <w:highlight w:val="yellow"/>
        </w:rPr>
        <w:t>Appeal of Denied Claim/Second-Level Appeal Request/External Appeal Request</w:t>
      </w:r>
    </w:p>
    <w:p w14:paraId="4BF8522F" w14:textId="77777777" w:rsidR="002F648F" w:rsidRPr="00CC18CD" w:rsidRDefault="002F648F" w:rsidP="002F648F">
      <w:pPr>
        <w:spacing w:line="240" w:lineRule="auto"/>
        <w:jc w:val="left"/>
        <w:rPr>
          <w:rFonts w:ascii="Times New Roman" w:hAnsi="Times New Roman" w:cs="Times New Roman"/>
          <w:sz w:val="24"/>
          <w:szCs w:val="24"/>
        </w:rPr>
      </w:pPr>
    </w:p>
    <w:p w14:paraId="1075A3FA"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Member: </w:t>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Name</w:t>
      </w:r>
    </w:p>
    <w:p w14:paraId="0C206B91"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Customer ID: </w:t>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Member ID</w:t>
      </w:r>
    </w:p>
    <w:p w14:paraId="52CB4090"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Reference: </w:t>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Claim reference number</w:t>
      </w:r>
    </w:p>
    <w:p w14:paraId="5A78B891"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Provider: </w:t>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Provider</w:t>
      </w:r>
      <w:r w:rsidRPr="00CC18CD">
        <w:rPr>
          <w:rFonts w:ascii="Times New Roman" w:hAnsi="Times New Roman" w:cs="Times New Roman"/>
          <w:sz w:val="24"/>
          <w:szCs w:val="24"/>
        </w:rPr>
        <w:t xml:space="preserve"> </w:t>
      </w:r>
      <w:r w:rsidRPr="00CC18CD">
        <w:rPr>
          <w:rFonts w:ascii="Times New Roman" w:hAnsi="Times New Roman" w:cs="Times New Roman"/>
          <w:sz w:val="24"/>
          <w:szCs w:val="24"/>
          <w:highlight w:val="yellow"/>
        </w:rPr>
        <w:t>Name</w:t>
      </w:r>
    </w:p>
    <w:p w14:paraId="644D6DDD" w14:textId="77777777" w:rsidR="002F648F" w:rsidRPr="00CC18CD" w:rsidRDefault="002F648F" w:rsidP="002F648F">
      <w:pPr>
        <w:spacing w:line="240" w:lineRule="auto"/>
        <w:ind w:left="1440" w:hanging="1440"/>
        <w:jc w:val="left"/>
        <w:rPr>
          <w:rFonts w:ascii="Times New Roman" w:hAnsi="Times New Roman" w:cs="Times New Roman"/>
          <w:sz w:val="24"/>
          <w:szCs w:val="24"/>
        </w:rPr>
      </w:pPr>
      <w:r w:rsidRPr="00CC18CD">
        <w:rPr>
          <w:rFonts w:ascii="Times New Roman" w:hAnsi="Times New Roman" w:cs="Times New Roman"/>
          <w:sz w:val="24"/>
          <w:szCs w:val="24"/>
        </w:rPr>
        <w:t xml:space="preserve">Procedures: </w:t>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CPT Codes Requested</w:t>
      </w:r>
    </w:p>
    <w:p w14:paraId="097C934D" w14:textId="77777777" w:rsidR="002F648F" w:rsidRPr="00CC18CD" w:rsidRDefault="002F648F" w:rsidP="002F648F">
      <w:pPr>
        <w:pStyle w:val="Default"/>
        <w:tabs>
          <w:tab w:val="left" w:pos="720"/>
          <w:tab w:val="left" w:pos="1440"/>
          <w:tab w:val="left" w:pos="2160"/>
          <w:tab w:val="left" w:pos="2880"/>
          <w:tab w:val="left" w:pos="3600"/>
          <w:tab w:val="left" w:pos="5434"/>
        </w:tabs>
        <w:rPr>
          <w:rFonts w:ascii="Times New Roman" w:hAnsi="Times New Roman" w:cs="Times New Roman"/>
        </w:rPr>
      </w:pPr>
      <w:r w:rsidRPr="00CC18CD">
        <w:rPr>
          <w:rFonts w:ascii="Times New Roman" w:hAnsi="Times New Roman" w:cs="Times New Roman"/>
        </w:rPr>
        <w:t>Diagnosis:</w:t>
      </w:r>
      <w:r w:rsidRPr="00CC18CD">
        <w:rPr>
          <w:rFonts w:ascii="Times New Roman" w:hAnsi="Times New Roman" w:cs="Times New Roman"/>
        </w:rPr>
        <w:tab/>
      </w:r>
      <w:r w:rsidRPr="00CC18CD">
        <w:rPr>
          <w:rFonts w:ascii="Times New Roman" w:hAnsi="Times New Roman" w:cs="Times New Roman"/>
          <w:highlight w:val="yellow"/>
        </w:rPr>
        <w:t>Diagnosis code</w:t>
      </w:r>
    </w:p>
    <w:p w14:paraId="0B2BA68D" w14:textId="77777777" w:rsidR="002F648F" w:rsidRPr="00CC18CD" w:rsidRDefault="002F648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 xml:space="preserve">DOS: </w:t>
      </w:r>
      <w:r w:rsidRPr="00CC18CD">
        <w:rPr>
          <w:rFonts w:ascii="Times New Roman" w:hAnsi="Times New Roman" w:cs="Times New Roman"/>
          <w:sz w:val="24"/>
          <w:szCs w:val="24"/>
        </w:rPr>
        <w:tab/>
      </w:r>
      <w:r w:rsidRPr="00CC18CD">
        <w:rPr>
          <w:rFonts w:ascii="Times New Roman" w:hAnsi="Times New Roman" w:cs="Times New Roman"/>
          <w:sz w:val="24"/>
          <w:szCs w:val="24"/>
        </w:rPr>
        <w:tab/>
      </w:r>
      <w:r w:rsidRPr="00CC18CD">
        <w:rPr>
          <w:rFonts w:ascii="Times New Roman" w:hAnsi="Times New Roman" w:cs="Times New Roman"/>
          <w:sz w:val="24"/>
          <w:szCs w:val="24"/>
          <w:highlight w:val="yellow"/>
        </w:rPr>
        <w:t>Dates of Service</w:t>
      </w:r>
    </w:p>
    <w:bookmarkEnd w:id="0"/>
    <w:p w14:paraId="24A11DD4" w14:textId="77777777" w:rsidR="002F648F" w:rsidRPr="00CC18CD" w:rsidRDefault="002F648F" w:rsidP="002F648F">
      <w:pPr>
        <w:pStyle w:val="Body"/>
      </w:pPr>
    </w:p>
    <w:p w14:paraId="5402271B" w14:textId="77777777" w:rsidR="002F648F" w:rsidRPr="00CC18CD" w:rsidRDefault="002F648F" w:rsidP="002F648F">
      <w:pPr>
        <w:pStyle w:val="Body"/>
      </w:pPr>
      <w:r w:rsidRPr="00CC18CD">
        <w:t xml:space="preserve">To </w:t>
      </w:r>
      <w:r w:rsidRPr="00CC18CD">
        <w:rPr>
          <w:highlight w:val="yellow"/>
        </w:rPr>
        <w:t>Addressee</w:t>
      </w:r>
      <w:r w:rsidRPr="00CC18CD">
        <w:t xml:space="preserve">: </w:t>
      </w:r>
    </w:p>
    <w:p w14:paraId="71A30F85" w14:textId="7E1B721C" w:rsidR="002F648F" w:rsidRPr="00CC18CD" w:rsidRDefault="002F648F" w:rsidP="002F648F">
      <w:pPr>
        <w:pStyle w:val="Body"/>
      </w:pPr>
      <w:r w:rsidRPr="00CC18CD">
        <w:t xml:space="preserve">I am writing to initiate an external appeal of </w:t>
      </w:r>
      <w:r w:rsidRPr="00CC18CD">
        <w:rPr>
          <w:highlight w:val="yellow"/>
        </w:rPr>
        <w:t>Insurer’s</w:t>
      </w:r>
      <w:r w:rsidRPr="00CC18CD">
        <w:t xml:space="preserve"> denial of </w:t>
      </w:r>
      <w:r w:rsidRPr="00CC18CD">
        <w:rPr>
          <w:highlight w:val="yellow"/>
        </w:rPr>
        <w:t>Procedure Name</w:t>
      </w:r>
      <w:r w:rsidRPr="00CC18CD">
        <w:t xml:space="preserve"> </w:t>
      </w:r>
      <w:r w:rsidRPr="00CC18CD">
        <w:rPr>
          <w:rFonts w:eastAsiaTheme="minorHAnsi"/>
        </w:rPr>
        <w:t xml:space="preserve">to treat gender dysphoria. </w:t>
      </w:r>
      <w:r w:rsidRPr="00CC18CD">
        <w:rPr>
          <w:rFonts w:eastAsiaTheme="minorHAnsi"/>
          <w:highlight w:val="yellow"/>
        </w:rPr>
        <w:t>Insurer</w:t>
      </w:r>
      <w:r w:rsidRPr="00CC18CD">
        <w:rPr>
          <w:rFonts w:eastAsiaTheme="minorHAnsi"/>
        </w:rPr>
        <w:t xml:space="preserve"> erred in denying the surgery, as the procedure is medically necessary to treat my gender dysphoria under the terms of the </w:t>
      </w:r>
      <w:r w:rsidRPr="00CC18CD">
        <w:rPr>
          <w:rFonts w:eastAsiaTheme="minorHAnsi"/>
          <w:highlight w:val="yellow"/>
        </w:rPr>
        <w:t>Name of Plan</w:t>
      </w:r>
      <w:r w:rsidRPr="00CC18CD">
        <w:rPr>
          <w:rFonts w:eastAsiaTheme="minorHAnsi"/>
        </w:rPr>
        <w:t xml:space="preserve"> (“the Plan”).</w:t>
      </w:r>
    </w:p>
    <w:p w14:paraId="179763EB" w14:textId="77777777" w:rsidR="002F648F" w:rsidRPr="00CC18CD" w:rsidRDefault="002F648F" w:rsidP="002F648F">
      <w:pPr>
        <w:pStyle w:val="Heading1"/>
      </w:pPr>
      <w:r w:rsidRPr="00CC18CD">
        <w:t>Facts and Procedural History</w:t>
      </w:r>
    </w:p>
    <w:p w14:paraId="25E0F8ED" w14:textId="77777777" w:rsidR="002F648F" w:rsidRPr="00CC18CD" w:rsidRDefault="002F648F" w:rsidP="002F648F">
      <w:pPr>
        <w:rPr>
          <w:rFonts w:ascii="Times New Roman" w:hAnsi="Times New Roman" w:cs="Times New Roman"/>
          <w:sz w:val="24"/>
          <w:szCs w:val="24"/>
          <w:highlight w:val="green"/>
        </w:rPr>
      </w:pPr>
      <w:r w:rsidRPr="00CC18CD">
        <w:rPr>
          <w:rFonts w:ascii="Times New Roman" w:hAnsi="Times New Roman" w:cs="Times New Roman"/>
          <w:sz w:val="24"/>
          <w:szCs w:val="24"/>
          <w:highlight w:val="green"/>
        </w:rPr>
        <w:t>This section is basically a history of your experience with gender dysphoria, what you have already tried, and why you need additional treatment. You can include dates that you talked to your provider, include quotes, and/or refer to any notes from your provider. You can include these as exhibits at the end of the appeal</w:t>
      </w:r>
      <w:proofErr w:type="gramStart"/>
      <w:r w:rsidRPr="00CC18CD">
        <w:rPr>
          <w:rFonts w:ascii="Times New Roman" w:hAnsi="Times New Roman" w:cs="Times New Roman"/>
          <w:sz w:val="24"/>
          <w:szCs w:val="24"/>
          <w:highlight w:val="green"/>
        </w:rPr>
        <w:t>. ,</w:t>
      </w:r>
      <w:proofErr w:type="gramEnd"/>
      <w:r w:rsidRPr="00CC18CD">
        <w:rPr>
          <w:rFonts w:ascii="Times New Roman" w:hAnsi="Times New Roman" w:cs="Times New Roman"/>
          <w:sz w:val="24"/>
          <w:szCs w:val="24"/>
          <w:highlight w:val="green"/>
        </w:rPr>
        <w:t xml:space="preserve"> simply label each one in order (1, 2, 3… or A, B, C..) and attach to the end of your appeal letter</w:t>
      </w:r>
    </w:p>
    <w:p w14:paraId="42BA6BAC" w14:textId="77777777" w:rsidR="002F648F" w:rsidRPr="00CC18CD" w:rsidRDefault="002F648F" w:rsidP="002F648F">
      <w:pPr>
        <w:rPr>
          <w:rFonts w:ascii="Times New Roman" w:hAnsi="Times New Roman" w:cs="Times New Roman"/>
          <w:i/>
          <w:sz w:val="24"/>
          <w:szCs w:val="24"/>
          <w:highlight w:val="green"/>
        </w:rPr>
      </w:pPr>
    </w:p>
    <w:p w14:paraId="04C17B95" w14:textId="77777777" w:rsidR="002F648F" w:rsidRPr="00CC18CD" w:rsidRDefault="002F648F" w:rsidP="002F648F">
      <w:pPr>
        <w:rPr>
          <w:rFonts w:ascii="Times New Roman" w:hAnsi="Times New Roman" w:cs="Times New Roman"/>
          <w:i/>
          <w:sz w:val="24"/>
          <w:szCs w:val="24"/>
          <w:highlight w:val="green"/>
        </w:rPr>
      </w:pPr>
      <w:r w:rsidRPr="00CC18CD">
        <w:rPr>
          <w:rFonts w:ascii="Times New Roman" w:hAnsi="Times New Roman" w:cs="Times New Roman"/>
          <w:sz w:val="24"/>
          <w:szCs w:val="24"/>
          <w:highlight w:val="green"/>
        </w:rPr>
        <w:t xml:space="preserve">After you talk about the document, add Ex. ABC or 123 to the sentence. </w:t>
      </w:r>
      <w:r w:rsidRPr="00CC18CD">
        <w:rPr>
          <w:rFonts w:ascii="Times New Roman" w:hAnsi="Times New Roman" w:cs="Times New Roman"/>
          <w:i/>
          <w:sz w:val="24"/>
          <w:szCs w:val="24"/>
          <w:highlight w:val="green"/>
        </w:rPr>
        <w:t xml:space="preserve">Example: My </w:t>
      </w:r>
      <w:proofErr w:type="gramStart"/>
      <w:r w:rsidRPr="00CC18CD">
        <w:rPr>
          <w:rFonts w:ascii="Times New Roman" w:hAnsi="Times New Roman" w:cs="Times New Roman"/>
          <w:i/>
          <w:sz w:val="24"/>
          <w:szCs w:val="24"/>
          <w:highlight w:val="green"/>
        </w:rPr>
        <w:t>Doctor</w:t>
      </w:r>
      <w:proofErr w:type="gramEnd"/>
      <w:r w:rsidRPr="00CC18CD">
        <w:rPr>
          <w:rFonts w:ascii="Times New Roman" w:hAnsi="Times New Roman" w:cs="Times New Roman"/>
          <w:i/>
          <w:sz w:val="24"/>
          <w:szCs w:val="24"/>
          <w:highlight w:val="green"/>
        </w:rPr>
        <w:t xml:space="preserve"> prescribed X drug which did not help my gender dysphoria so Dr. X explained a procedure that would help my gender dysphoria go away. Ex. A.</w:t>
      </w:r>
    </w:p>
    <w:p w14:paraId="0DAEAB4B" w14:textId="77777777" w:rsidR="002F648F" w:rsidRPr="00CC18CD" w:rsidRDefault="002F648F" w:rsidP="002F648F">
      <w:pPr>
        <w:rPr>
          <w:rFonts w:ascii="Times New Roman" w:hAnsi="Times New Roman" w:cs="Times New Roman"/>
          <w:sz w:val="24"/>
          <w:szCs w:val="24"/>
          <w:highlight w:val="green"/>
        </w:rPr>
      </w:pPr>
    </w:p>
    <w:p w14:paraId="5770C2FC" w14:textId="4C044727" w:rsidR="002F648F" w:rsidRPr="00CC18CD" w:rsidRDefault="002F648F" w:rsidP="002F648F">
      <w:pPr>
        <w:rPr>
          <w:rFonts w:ascii="Times New Roman" w:hAnsi="Times New Roman" w:cs="Times New Roman"/>
          <w:sz w:val="24"/>
          <w:szCs w:val="24"/>
          <w:highlight w:val="green"/>
        </w:rPr>
      </w:pPr>
      <w:r w:rsidRPr="00CC18CD">
        <w:rPr>
          <w:rFonts w:ascii="Times New Roman" w:hAnsi="Times New Roman" w:cs="Times New Roman"/>
          <w:sz w:val="24"/>
          <w:szCs w:val="24"/>
          <w:highlight w:val="green"/>
        </w:rPr>
        <w:lastRenderedPageBreak/>
        <w:t xml:space="preserve">You will then talk about the history of trying to get the procedure, medication, or service covered. You will need to include a detailed timeline of when the provider submitted the preauthorization (if there was one), your or your doctor’s communication with the insurance company, the date you got a denial, and the reason given for the denial. The denial itself should also be included as an exhibit. </w:t>
      </w:r>
    </w:p>
    <w:p w14:paraId="27A29F34" w14:textId="5E3CDD33" w:rsidR="002F648F" w:rsidRPr="00CC18CD" w:rsidRDefault="002F648F" w:rsidP="002F648F">
      <w:pPr>
        <w:rPr>
          <w:rFonts w:ascii="Times New Roman" w:hAnsi="Times New Roman" w:cs="Times New Roman"/>
          <w:sz w:val="24"/>
          <w:szCs w:val="24"/>
        </w:rPr>
      </w:pPr>
      <w:r w:rsidRPr="00CC18CD">
        <w:rPr>
          <w:rFonts w:ascii="Times New Roman" w:hAnsi="Times New Roman" w:cs="Times New Roman"/>
          <w:sz w:val="24"/>
          <w:szCs w:val="24"/>
          <w:highlight w:val="green"/>
        </w:rPr>
        <w:t>Note: Not everyone will do things in the same order. Please look at the dates on your documents and make sure to talk about everything in order by the date.</w:t>
      </w:r>
    </w:p>
    <w:p w14:paraId="24C256A6" w14:textId="77777777" w:rsidR="002F648F" w:rsidRPr="00CC18CD" w:rsidRDefault="002F648F" w:rsidP="002F648F">
      <w:pPr>
        <w:pStyle w:val="Body"/>
      </w:pPr>
      <w:r w:rsidRPr="00CC18CD">
        <w:rPr>
          <w:highlight w:val="yellow"/>
        </w:rPr>
        <w:t>Insurer’s</w:t>
      </w:r>
      <w:r w:rsidRPr="00CC18CD">
        <w:t xml:space="preserve"> denial of coverage of facial gender-affirming surgery is incorrect because under the terms of the Plan, the surgery is medically necessary for the treatment of my gender dysphoria.</w:t>
      </w:r>
    </w:p>
    <w:p w14:paraId="4E82E017" w14:textId="77777777" w:rsidR="002F648F" w:rsidRPr="00CC18CD" w:rsidRDefault="002F648F" w:rsidP="002F648F">
      <w:pPr>
        <w:pStyle w:val="Heading1"/>
      </w:pPr>
      <w:r w:rsidRPr="00CC18CD">
        <w:rPr>
          <w:highlight w:val="yellow"/>
        </w:rPr>
        <w:t>Procedure Name</w:t>
      </w:r>
      <w:r w:rsidRPr="00CC18CD">
        <w:t xml:space="preserve"> Meets the Plan Definition of Medical Necessity</w:t>
      </w:r>
    </w:p>
    <w:p w14:paraId="0DDBBEA1" w14:textId="50A86CB4" w:rsidR="002F648F" w:rsidRPr="00CC18CD" w:rsidRDefault="00965A32" w:rsidP="002F648F">
      <w:pPr>
        <w:pStyle w:val="Body"/>
      </w:pPr>
      <w:r w:rsidRPr="00CC18CD">
        <w:rPr>
          <w:highlight w:val="green"/>
        </w:rPr>
        <w:t xml:space="preserve">The goal in this section is to explain why the procedure you need meets the Plan’s definition of medical necessity. </w:t>
      </w:r>
      <w:r w:rsidR="002F648F" w:rsidRPr="00CC18CD">
        <w:rPr>
          <w:highlight w:val="green"/>
        </w:rPr>
        <w:t>We have included a generic definition of “Medical Necessity”</w:t>
      </w:r>
      <w:r w:rsidRPr="00CC18CD">
        <w:rPr>
          <w:highlight w:val="green"/>
        </w:rPr>
        <w:t xml:space="preserve"> as an example.</w:t>
      </w:r>
      <w:r w:rsidR="002F648F" w:rsidRPr="00CC18CD">
        <w:rPr>
          <w:highlight w:val="green"/>
        </w:rPr>
        <w:t xml:space="preserve"> </w:t>
      </w:r>
      <w:r w:rsidRPr="00CC18CD">
        <w:rPr>
          <w:highlight w:val="green"/>
        </w:rPr>
        <w:t>Y</w:t>
      </w:r>
      <w:r w:rsidR="002F648F" w:rsidRPr="00CC18CD">
        <w:rPr>
          <w:highlight w:val="green"/>
        </w:rPr>
        <w:t>ou should check your plan policy to see if your plan uses a different definition. You can typically find it in the “definitions” section. If your plan has a different definition of “medical necessity” use that one instead. If you use a different definition, make sure to change the sub-headings, ( II. A…) to match!</w:t>
      </w:r>
    </w:p>
    <w:p w14:paraId="422CEC06" w14:textId="77777777" w:rsidR="002F648F" w:rsidRPr="00CC18CD" w:rsidRDefault="002F648F" w:rsidP="002F648F">
      <w:pPr>
        <w:pStyle w:val="Body"/>
      </w:pPr>
      <w:r w:rsidRPr="00CC18CD">
        <w:t>Under the terms the Plan, the Plan must provide coverage of services that are deemed “Medically Necessary.” Services are considered “Medically Necessary” when they meet the following criteria:</w:t>
      </w:r>
    </w:p>
    <w:p w14:paraId="50676B3C" w14:textId="77777777" w:rsidR="002F648F" w:rsidRPr="00CC18CD" w:rsidRDefault="002F648F" w:rsidP="002F648F">
      <w:pPr>
        <w:pStyle w:val="Body"/>
        <w:numPr>
          <w:ilvl w:val="0"/>
          <w:numId w:val="4"/>
        </w:numPr>
        <w:spacing w:after="0"/>
      </w:pPr>
      <w:r w:rsidRPr="00CC18CD">
        <w:t>The procedure is appropriate and necessary for the symptoms, diagnosis, or treatment of a particular condition</w:t>
      </w:r>
    </w:p>
    <w:p w14:paraId="2A89BA75" w14:textId="77777777" w:rsidR="002F648F" w:rsidRPr="00CC18CD" w:rsidRDefault="002F648F" w:rsidP="002F648F">
      <w:pPr>
        <w:pStyle w:val="Body"/>
        <w:numPr>
          <w:ilvl w:val="0"/>
          <w:numId w:val="4"/>
        </w:numPr>
        <w:spacing w:after="0"/>
      </w:pPr>
      <w:r w:rsidRPr="00CC18CD">
        <w:t>The procedure is clinically appropriate in terms of type, frequency, extent, site and duration</w:t>
      </w:r>
    </w:p>
    <w:p w14:paraId="00C2F64C" w14:textId="77777777" w:rsidR="002F648F" w:rsidRPr="00CC18CD" w:rsidRDefault="002F648F" w:rsidP="002F648F">
      <w:pPr>
        <w:pStyle w:val="Body"/>
        <w:numPr>
          <w:ilvl w:val="0"/>
          <w:numId w:val="4"/>
        </w:numPr>
        <w:spacing w:after="0"/>
      </w:pPr>
      <w:r w:rsidRPr="00CC18CD">
        <w:t>The procedure is not done for the convenience of the patient or provider</w:t>
      </w:r>
    </w:p>
    <w:p w14:paraId="526F6247" w14:textId="77777777" w:rsidR="002F648F" w:rsidRPr="00CC18CD" w:rsidRDefault="002F648F" w:rsidP="002F648F">
      <w:pPr>
        <w:pStyle w:val="Body"/>
        <w:numPr>
          <w:ilvl w:val="0"/>
          <w:numId w:val="4"/>
        </w:numPr>
        <w:spacing w:after="0"/>
      </w:pPr>
      <w:r w:rsidRPr="00CC18CD">
        <w:t>The procedure is within generally accepted standards of good medical practice</w:t>
      </w:r>
    </w:p>
    <w:p w14:paraId="161A1F21" w14:textId="77777777" w:rsidR="002F648F" w:rsidRPr="00CC18CD" w:rsidRDefault="002F648F" w:rsidP="002F648F">
      <w:pPr>
        <w:pStyle w:val="Body"/>
        <w:numPr>
          <w:ilvl w:val="0"/>
          <w:numId w:val="4"/>
        </w:numPr>
      </w:pPr>
      <w:r w:rsidRPr="00CC18CD">
        <w:t>The procedure is rendered in the least intensive setting that is appropriate</w:t>
      </w:r>
    </w:p>
    <w:p w14:paraId="0328F20F" w14:textId="31716045" w:rsidR="002F648F" w:rsidRPr="00CC18CD" w:rsidRDefault="002F648F" w:rsidP="002F648F">
      <w:pPr>
        <w:pStyle w:val="Body"/>
      </w:pPr>
      <w:r w:rsidRPr="00CC18CD">
        <w:rPr>
          <w:highlight w:val="yellow"/>
        </w:rPr>
        <w:t xml:space="preserve">Procedure </w:t>
      </w:r>
      <w:r w:rsidR="00F52330" w:rsidRPr="00CC18CD">
        <w:rPr>
          <w:highlight w:val="yellow"/>
        </w:rPr>
        <w:t>N</w:t>
      </w:r>
      <w:r w:rsidRPr="00CC18CD">
        <w:rPr>
          <w:highlight w:val="yellow"/>
        </w:rPr>
        <w:t>ame</w:t>
      </w:r>
      <w:r w:rsidRPr="00CC18CD">
        <w:t xml:space="preserve"> to treat gender dysphoria meets the above criteria for coverage under the Plan. Consequently, </w:t>
      </w:r>
      <w:r w:rsidRPr="00CC18CD">
        <w:rPr>
          <w:highlight w:val="yellow"/>
        </w:rPr>
        <w:t>Insurer’s</w:t>
      </w:r>
      <w:r w:rsidRPr="00CC18CD">
        <w:t xml:space="preserve"> denial must be overturned, and the Plan must cover </w:t>
      </w:r>
      <w:r w:rsidR="00F52330" w:rsidRPr="00CC18CD">
        <w:rPr>
          <w:highlight w:val="yellow"/>
        </w:rPr>
        <w:t>P</w:t>
      </w:r>
      <w:r w:rsidRPr="00CC18CD">
        <w:rPr>
          <w:highlight w:val="yellow"/>
        </w:rPr>
        <w:t xml:space="preserve">rocedure </w:t>
      </w:r>
      <w:r w:rsidR="00F52330" w:rsidRPr="00CC18CD">
        <w:rPr>
          <w:highlight w:val="yellow"/>
        </w:rPr>
        <w:t>N</w:t>
      </w:r>
      <w:r w:rsidRPr="00CC18CD">
        <w:rPr>
          <w:highlight w:val="yellow"/>
        </w:rPr>
        <w:t>ame</w:t>
      </w:r>
      <w:r w:rsidRPr="00CC18CD">
        <w:t>.</w:t>
      </w:r>
    </w:p>
    <w:p w14:paraId="54DADE59" w14:textId="77777777" w:rsidR="002F648F" w:rsidRPr="00CC18CD" w:rsidRDefault="002F648F" w:rsidP="002F648F">
      <w:pPr>
        <w:pStyle w:val="Heading2"/>
        <w:tabs>
          <w:tab w:val="left" w:pos="4410"/>
        </w:tabs>
      </w:pPr>
      <w:r w:rsidRPr="00CC18CD">
        <w:rPr>
          <w:highlight w:val="yellow"/>
        </w:rPr>
        <w:t>Procedure Name</w:t>
      </w:r>
      <w:r w:rsidRPr="00CC18CD">
        <w:t xml:space="preserve"> is appropriate and necessary for the symptoms, diagnosis, and treatment of gender dysphoria</w:t>
      </w:r>
    </w:p>
    <w:p w14:paraId="6B90DF50" w14:textId="5088C0E6" w:rsidR="002F648F" w:rsidRPr="00CC18CD" w:rsidRDefault="002F648F" w:rsidP="002F648F">
      <w:pPr>
        <w:pStyle w:val="Body"/>
      </w:pPr>
      <w:r w:rsidRPr="00CC18CD">
        <w:t xml:space="preserve">It is well-established that </w:t>
      </w:r>
      <w:r w:rsidRPr="00CC18CD">
        <w:rPr>
          <w:highlight w:val="yellow"/>
        </w:rPr>
        <w:t>Procedure Name</w:t>
      </w:r>
      <w:r w:rsidRPr="00CC18CD">
        <w:t xml:space="preserve"> is a safe and effective treatment of gender dysphoria.</w:t>
      </w:r>
      <w:bookmarkStart w:id="1" w:name="_Ref124837804"/>
      <w:r w:rsidRPr="00CC18CD">
        <w:rPr>
          <w:rStyle w:val="FootnoteReference"/>
        </w:rPr>
        <w:footnoteReference w:id="1"/>
      </w:r>
      <w:bookmarkEnd w:id="1"/>
      <w:r w:rsidRPr="00CC18CD">
        <w:t xml:space="preserve"> </w:t>
      </w:r>
    </w:p>
    <w:p w14:paraId="2FD3EEE2" w14:textId="77777777" w:rsidR="002F648F" w:rsidRPr="00CC18CD" w:rsidRDefault="002F648F" w:rsidP="002F648F">
      <w:pPr>
        <w:pStyle w:val="Body"/>
      </w:pPr>
      <w:r w:rsidRPr="00CC18CD">
        <w:t>Gender dysphoria, as defined by the American Psychiatric Association’s Fifth Edition of the </w:t>
      </w:r>
      <w:r w:rsidRPr="00CC18CD">
        <w:rPr>
          <w:i/>
          <w:iCs/>
        </w:rPr>
        <w:t>Diagnostic and Statistical Manual of Mental Disorders </w:t>
      </w:r>
      <w:r w:rsidRPr="00CC18CD">
        <w:t xml:space="preserve">(“DSM-5”), is a medical condition in </w:t>
      </w:r>
      <w:r w:rsidRPr="00CC18CD">
        <w:lastRenderedPageBreak/>
        <w:t>which there is a marked incongruence between one’s experienced or expressed sex and one’s assigned sex at birth.</w:t>
      </w:r>
      <w:r w:rsidRPr="00CC18CD">
        <w:rPr>
          <w:rStyle w:val="FootnoteReference"/>
        </w:rPr>
        <w:footnoteReference w:id="2"/>
      </w:r>
      <w:r w:rsidRPr="00CC18CD">
        <w:t xml:space="preserve"> A person diagnosed with gender dysphoria experiences clinically significant distress as a result having an internal sense of their sex that is different than their assigned sex at birth. Before treatment, people with gender dysphoria “experience psychological distress resulting from the discrepancy between their sex assigned at birth and gender identity.”</w:t>
      </w:r>
      <w:r w:rsidRPr="00CC18CD">
        <w:rPr>
          <w:rStyle w:val="FootnoteReference"/>
        </w:rPr>
        <w:footnoteReference w:id="3"/>
      </w:r>
      <w:r w:rsidRPr="00CC18CD">
        <w:t xml:space="preserve"> They may seek medical treatments </w:t>
      </w:r>
      <w:proofErr w:type="gramStart"/>
      <w:r w:rsidRPr="00CC18CD">
        <w:t>in order to</w:t>
      </w:r>
      <w:proofErr w:type="gramEnd"/>
      <w:r w:rsidRPr="00CC18CD">
        <w:t xml:space="preserve"> “align physical characteristics with [their] identity.”</w:t>
      </w:r>
      <w:r w:rsidRPr="00CC18CD">
        <w:rPr>
          <w:rStyle w:val="FootnoteReference"/>
        </w:rPr>
        <w:footnoteReference w:id="4"/>
      </w:r>
      <w:r w:rsidRPr="00CC18CD">
        <w:t xml:space="preserve"> </w:t>
      </w:r>
    </w:p>
    <w:p w14:paraId="70802073" w14:textId="77777777" w:rsidR="002F648F" w:rsidRPr="00CC18CD" w:rsidRDefault="002F648F" w:rsidP="002F648F">
      <w:pPr>
        <w:pStyle w:val="Body"/>
      </w:pPr>
      <w:r w:rsidRPr="00CC18CD">
        <w:t>Altering physical sex characteristics to correspond with one’s identity is the standard treatment for gender dysphoria. According to the World Professional Association for Transgender Health (WPATH), transgender-related care involves “holistic inter- and multidisciplinary care between endocrinology, surgery, voice and communication, primary care, reproductive health, sexual health and mental health disciplines to support gender-affirming interventions as well as preventive care and chronic disease management.”</w:t>
      </w:r>
      <w:bookmarkStart w:id="3" w:name="_Ref124946789"/>
      <w:r w:rsidRPr="00CC18CD">
        <w:rPr>
          <w:rStyle w:val="FootnoteReference"/>
        </w:rPr>
        <w:footnoteReference w:id="5"/>
      </w:r>
      <w:bookmarkEnd w:id="3"/>
      <w:r w:rsidRPr="00CC18CD">
        <w:t xml:space="preserve"> The WPATH Standards of Care recognize that for those who do not experience relief due to other measures, “surgery is essential and medically necessary to alleviate their gender dysphoria . . . relief from gender dysphoria cannot be achieved without modification of their primary and/or secondary sex characteristics to establish greater congruence . . . .”</w:t>
      </w:r>
      <w:r w:rsidRPr="00CC18CD">
        <w:rPr>
          <w:rStyle w:val="FootnoteReference"/>
        </w:rPr>
        <w:footnoteReference w:id="6"/>
      </w:r>
    </w:p>
    <w:p w14:paraId="7E69DF7F" w14:textId="77777777" w:rsidR="002F648F" w:rsidRPr="00CC18CD" w:rsidRDefault="002F648F" w:rsidP="002F648F">
      <w:pPr>
        <w:pStyle w:val="Body"/>
        <w:rPr>
          <w:i/>
          <w:highlight w:val="green"/>
        </w:rPr>
      </w:pPr>
      <w:r w:rsidRPr="00CC18CD">
        <w:rPr>
          <w:highlight w:val="green"/>
        </w:rPr>
        <w:t>Add in any assessments from providers in therapist/other letters or other consultation notes. Remember:</w:t>
      </w:r>
      <w:r w:rsidRPr="00CC18CD">
        <w:rPr>
          <w:i/>
          <w:highlight w:val="green"/>
        </w:rPr>
        <w:t xml:space="preserve"> Any documents that you refer to should be attached as an exhibit at the end of the letter.</w:t>
      </w:r>
    </w:p>
    <w:p w14:paraId="3EB017ED" w14:textId="77777777" w:rsidR="002F648F" w:rsidRPr="00CC18CD" w:rsidRDefault="002F648F" w:rsidP="002F648F">
      <w:pPr>
        <w:pStyle w:val="Heading2"/>
      </w:pPr>
      <w:r w:rsidRPr="00CC18CD">
        <w:t>The procedure is clinically appropriate in terms of type, frequency, extent, site and duration</w:t>
      </w:r>
    </w:p>
    <w:p w14:paraId="0492C4A1" w14:textId="77777777" w:rsidR="002F648F" w:rsidRPr="00CC18CD" w:rsidRDefault="002F648F" w:rsidP="002F648F">
      <w:pPr>
        <w:pStyle w:val="Body"/>
        <w:rPr>
          <w:rFonts w:eastAsiaTheme="minorHAnsi"/>
        </w:rPr>
      </w:pPr>
      <w:r w:rsidRPr="00CC18CD">
        <w:rPr>
          <w:rFonts w:eastAsiaTheme="minorHAnsi"/>
        </w:rPr>
        <w:t>The WPATH SoC established the following criteria for undergoing gender affirming surgical procedures:</w:t>
      </w:r>
    </w:p>
    <w:p w14:paraId="0D8E0CB0"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t xml:space="preserve">Gender incongruence is marked and </w:t>
      </w:r>
      <w:proofErr w:type="gramStart"/>
      <w:r w:rsidRPr="00CC18CD">
        <w:rPr>
          <w:rFonts w:ascii="Times New Roman" w:hAnsi="Times New Roman" w:cs="Times New Roman"/>
          <w:sz w:val="24"/>
          <w:szCs w:val="24"/>
        </w:rPr>
        <w:t>sustained;</w:t>
      </w:r>
      <w:proofErr w:type="gramEnd"/>
      <w:r w:rsidRPr="00CC18CD">
        <w:rPr>
          <w:rFonts w:ascii="Times New Roman" w:hAnsi="Times New Roman" w:cs="Times New Roman"/>
          <w:sz w:val="24"/>
          <w:szCs w:val="24"/>
        </w:rPr>
        <w:t xml:space="preserve"> </w:t>
      </w:r>
    </w:p>
    <w:p w14:paraId="1D897842"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t xml:space="preserve">Meets diagnostic criteria for gender incongruence prior to gender-affirming surgical intervention in regions where a diagnosis is necessary to access health </w:t>
      </w:r>
      <w:proofErr w:type="gramStart"/>
      <w:r w:rsidRPr="00CC18CD">
        <w:rPr>
          <w:rFonts w:ascii="Times New Roman" w:hAnsi="Times New Roman" w:cs="Times New Roman"/>
          <w:sz w:val="24"/>
          <w:szCs w:val="24"/>
        </w:rPr>
        <w:t>care;</w:t>
      </w:r>
      <w:proofErr w:type="gramEnd"/>
      <w:r w:rsidRPr="00CC18CD">
        <w:rPr>
          <w:rFonts w:ascii="Times New Roman" w:hAnsi="Times New Roman" w:cs="Times New Roman"/>
          <w:sz w:val="24"/>
          <w:szCs w:val="24"/>
        </w:rPr>
        <w:t xml:space="preserve"> </w:t>
      </w:r>
    </w:p>
    <w:p w14:paraId="3DD737EB"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t xml:space="preserve">Demonstrates capacity to consent for the specific gender-affirming surgical </w:t>
      </w:r>
      <w:proofErr w:type="gramStart"/>
      <w:r w:rsidRPr="00CC18CD">
        <w:rPr>
          <w:rFonts w:ascii="Times New Roman" w:hAnsi="Times New Roman" w:cs="Times New Roman"/>
          <w:sz w:val="24"/>
          <w:szCs w:val="24"/>
        </w:rPr>
        <w:t>intervention;</w:t>
      </w:r>
      <w:proofErr w:type="gramEnd"/>
      <w:r w:rsidRPr="00CC18CD">
        <w:rPr>
          <w:rFonts w:ascii="Times New Roman" w:hAnsi="Times New Roman" w:cs="Times New Roman"/>
          <w:sz w:val="24"/>
          <w:szCs w:val="24"/>
        </w:rPr>
        <w:t xml:space="preserve"> </w:t>
      </w:r>
    </w:p>
    <w:p w14:paraId="04891834"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lastRenderedPageBreak/>
        <w:t>Understands the effect of gender-affirming surgical</w:t>
      </w:r>
      <w:r w:rsidRPr="00CC18CD">
        <w:rPr>
          <w:rFonts w:ascii="Times New Roman" w:hAnsi="Times New Roman" w:cs="Times New Roman"/>
          <w:sz w:val="24"/>
          <w:szCs w:val="24"/>
        </w:rPr>
        <w:br/>
        <w:t xml:space="preserve">intervention on reproduction and they have explored reproductive </w:t>
      </w:r>
      <w:proofErr w:type="gramStart"/>
      <w:r w:rsidRPr="00CC18CD">
        <w:rPr>
          <w:rFonts w:ascii="Times New Roman" w:hAnsi="Times New Roman" w:cs="Times New Roman"/>
          <w:sz w:val="24"/>
          <w:szCs w:val="24"/>
        </w:rPr>
        <w:t>options;</w:t>
      </w:r>
      <w:proofErr w:type="gramEnd"/>
    </w:p>
    <w:p w14:paraId="1A723099"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t xml:space="preserve">Other possible causes of apparent gender incongruence have been identified and </w:t>
      </w:r>
      <w:proofErr w:type="gramStart"/>
      <w:r w:rsidRPr="00CC18CD">
        <w:rPr>
          <w:rFonts w:ascii="Times New Roman" w:hAnsi="Times New Roman" w:cs="Times New Roman"/>
          <w:sz w:val="24"/>
          <w:szCs w:val="24"/>
        </w:rPr>
        <w:t>excluded;</w:t>
      </w:r>
      <w:proofErr w:type="gramEnd"/>
    </w:p>
    <w:p w14:paraId="29BF2FC8" w14:textId="77777777" w:rsidR="002F648F" w:rsidRPr="00CC18CD" w:rsidRDefault="002F648F" w:rsidP="002F648F">
      <w:pPr>
        <w:pStyle w:val="ListParagraph"/>
        <w:numPr>
          <w:ilvl w:val="0"/>
          <w:numId w:val="3"/>
        </w:numPr>
        <w:spacing w:line="240" w:lineRule="auto"/>
        <w:ind w:left="1800" w:right="1440"/>
        <w:rPr>
          <w:rFonts w:ascii="Times New Roman" w:hAnsi="Times New Roman" w:cs="Times New Roman"/>
          <w:sz w:val="24"/>
          <w:szCs w:val="24"/>
        </w:rPr>
      </w:pPr>
      <w:r w:rsidRPr="00CC18CD">
        <w:rPr>
          <w:rFonts w:ascii="Times New Roman" w:hAnsi="Times New Roman" w:cs="Times New Roman"/>
          <w:sz w:val="24"/>
          <w:szCs w:val="24"/>
        </w:rPr>
        <w:t>Mental health and physical conditions that could negatively impact the outcome of gender-affirming surgical intervention have been assessed, with risks and benefits have been discussed;</w:t>
      </w:r>
      <w:r w:rsidRPr="00CC18CD">
        <w:rPr>
          <w:rFonts w:ascii="Times New Roman" w:hAnsi="Times New Roman" w:cs="Times New Roman"/>
          <w:sz w:val="24"/>
          <w:szCs w:val="24"/>
        </w:rPr>
        <w:br/>
        <w:t>g. Stable on their gender affirming hormonal treatment regime (which may include at least 6 months of hormone treatment or a longer period if required to achieve the desired surgical result,</w:t>
      </w:r>
      <w:r w:rsidRPr="00CC18CD">
        <w:rPr>
          <w:rFonts w:ascii="Times New Roman" w:hAnsi="Times New Roman" w:cs="Times New Roman"/>
          <w:sz w:val="24"/>
          <w:szCs w:val="24"/>
        </w:rPr>
        <w:br/>
        <w:t>unless hormone therapy is either not desired or is medically contraindicated).</w:t>
      </w:r>
      <w:bookmarkStart w:id="4" w:name="_Ref122013393"/>
      <w:r w:rsidRPr="00CC18CD">
        <w:rPr>
          <w:rStyle w:val="FootnoteReference"/>
          <w:rFonts w:ascii="Times New Roman" w:hAnsi="Times New Roman" w:cs="Times New Roman"/>
          <w:sz w:val="24"/>
          <w:szCs w:val="24"/>
        </w:rPr>
        <w:footnoteReference w:id="7"/>
      </w:r>
      <w:bookmarkEnd w:id="4"/>
    </w:p>
    <w:p w14:paraId="2698C919" w14:textId="77777777" w:rsidR="002F648F" w:rsidRPr="00CC18CD" w:rsidRDefault="002F648F" w:rsidP="002F648F">
      <w:pPr>
        <w:spacing w:line="240" w:lineRule="auto"/>
        <w:jc w:val="left"/>
        <w:rPr>
          <w:rFonts w:ascii="Times New Roman" w:hAnsi="Times New Roman" w:cs="Times New Roman"/>
          <w:sz w:val="24"/>
          <w:szCs w:val="24"/>
        </w:rPr>
      </w:pPr>
    </w:p>
    <w:p w14:paraId="4E679BD3" w14:textId="77777777" w:rsidR="002F648F" w:rsidRPr="00CC18CD" w:rsidRDefault="002F648F" w:rsidP="002F648F">
      <w:pPr>
        <w:pStyle w:val="Body"/>
        <w:rPr>
          <w:highlight w:val="green"/>
        </w:rPr>
      </w:pPr>
      <w:r w:rsidRPr="00CC18CD">
        <w:rPr>
          <w:highlight w:val="green"/>
        </w:rPr>
        <w:t xml:space="preserve">Discuss how you personally satisfy the WPATH criteria. You can refer to your letters from your provider in this section. Remember to include the letter as an exhibit. If it is already an exhibit and referenced earlier, please make sure to use the </w:t>
      </w:r>
      <w:r w:rsidRPr="00CC18CD">
        <w:rPr>
          <w:i/>
          <w:highlight w:val="green"/>
        </w:rPr>
        <w:t>same exhibit number</w:t>
      </w:r>
      <w:r w:rsidRPr="00CC18CD">
        <w:rPr>
          <w:highlight w:val="green"/>
        </w:rPr>
        <w:t xml:space="preserve"> when you talk about it again.</w:t>
      </w:r>
    </w:p>
    <w:p w14:paraId="77D1BC06" w14:textId="77777777" w:rsidR="002F648F" w:rsidRPr="00CC18CD" w:rsidRDefault="002F648F" w:rsidP="002F648F">
      <w:pPr>
        <w:pStyle w:val="Heading2"/>
      </w:pPr>
      <w:r w:rsidRPr="00CC18CD">
        <w:t>The procedure is not done for the convenience of the patient or provider</w:t>
      </w:r>
    </w:p>
    <w:p w14:paraId="4427323B" w14:textId="77777777" w:rsidR="002F648F" w:rsidRPr="00CC18CD" w:rsidRDefault="002F648F" w:rsidP="002F648F">
      <w:pPr>
        <w:pStyle w:val="Body"/>
        <w:rPr>
          <w:highlight w:val="green"/>
        </w:rPr>
      </w:pPr>
      <w:r w:rsidRPr="00CC18CD">
        <w:rPr>
          <w:highlight w:val="green"/>
        </w:rPr>
        <w:t>Talk about how you need the procedure to help make your symptoms of gender dysphoria more manageable.</w:t>
      </w:r>
    </w:p>
    <w:p w14:paraId="2EBEEB9C" w14:textId="1CB9F94C" w:rsidR="002F648F" w:rsidRPr="00CC18CD" w:rsidRDefault="006F6709" w:rsidP="002F648F">
      <w:pPr>
        <w:pStyle w:val="Body"/>
      </w:pPr>
      <w:r w:rsidRPr="00CC18CD">
        <w:rPr>
          <w:highlight w:val="yellow"/>
        </w:rPr>
        <w:t>P</w:t>
      </w:r>
      <w:r w:rsidR="002F648F" w:rsidRPr="00CC18CD">
        <w:rPr>
          <w:highlight w:val="yellow"/>
        </w:rPr>
        <w:t>rocedure</w:t>
      </w:r>
      <w:r w:rsidRPr="00CC18CD">
        <w:rPr>
          <w:highlight w:val="yellow"/>
        </w:rPr>
        <w:t xml:space="preserve"> Name</w:t>
      </w:r>
      <w:r w:rsidR="002F648F" w:rsidRPr="00CC18CD">
        <w:t xml:space="preserve"> is not done for my convenience or </w:t>
      </w:r>
      <w:r w:rsidRPr="00CC18CD">
        <w:rPr>
          <w:highlight w:val="yellow"/>
        </w:rPr>
        <w:t>Y</w:t>
      </w:r>
      <w:r w:rsidR="002F648F" w:rsidRPr="00CC18CD">
        <w:rPr>
          <w:highlight w:val="yellow"/>
        </w:rPr>
        <w:t xml:space="preserve">our </w:t>
      </w:r>
      <w:r w:rsidRPr="00CC18CD">
        <w:rPr>
          <w:highlight w:val="yellow"/>
        </w:rPr>
        <w:t>P</w:t>
      </w:r>
      <w:r w:rsidR="002F648F" w:rsidRPr="00CC18CD">
        <w:rPr>
          <w:highlight w:val="yellow"/>
        </w:rPr>
        <w:t xml:space="preserve">rovider’s </w:t>
      </w:r>
      <w:r w:rsidR="002F648F" w:rsidRPr="00CC18CD">
        <w:t>convenience.</w:t>
      </w:r>
    </w:p>
    <w:p w14:paraId="6D6181E8" w14:textId="77777777" w:rsidR="002F648F" w:rsidRPr="00CC18CD" w:rsidRDefault="002F648F" w:rsidP="002F648F">
      <w:pPr>
        <w:pStyle w:val="Body"/>
      </w:pPr>
      <w:r w:rsidRPr="00CC18CD">
        <w:rPr>
          <w:highlight w:val="yellow"/>
        </w:rPr>
        <w:t>Procedure Name</w:t>
      </w:r>
      <w:r w:rsidRPr="00CC18CD">
        <w:t xml:space="preserve"> is not designed to “improve the appearance” of a person’s features, but rather to change characteristics typically associated with one sex and align them with characteristics that affirm the person’s gender. Accordingly, </w:t>
      </w:r>
      <w:r w:rsidRPr="00CC18CD">
        <w:rPr>
          <w:highlight w:val="yellow"/>
        </w:rPr>
        <w:t>Procedure Name</w:t>
      </w:r>
      <w:r w:rsidRPr="00CC18CD">
        <w:t xml:space="preserve"> is one of the primary forms of sex reassignment surgery to treat this diagnosis.</w:t>
      </w:r>
      <w:r w:rsidRPr="00CC18CD" w:rsidDel="008F117E">
        <w:rPr>
          <w:rStyle w:val="FootnoteReference"/>
        </w:rPr>
        <w:t xml:space="preserve"> </w:t>
      </w:r>
    </w:p>
    <w:p w14:paraId="50C19100" w14:textId="77777777" w:rsidR="002F648F" w:rsidRPr="00CC18CD" w:rsidRDefault="002F648F" w:rsidP="002F648F">
      <w:pPr>
        <w:pStyle w:val="Heading2"/>
      </w:pPr>
      <w:r w:rsidRPr="00CC18CD">
        <w:t>The procedure is within generally accepted standards of good medical practice</w:t>
      </w:r>
    </w:p>
    <w:p w14:paraId="2CE4803F" w14:textId="77777777" w:rsidR="002F648F" w:rsidRPr="00CC18CD" w:rsidRDefault="002F648F" w:rsidP="002F648F">
      <w:pPr>
        <w:pStyle w:val="Body"/>
      </w:pPr>
      <w:r w:rsidRPr="00CC18CD">
        <w:t>The World Professional Association for Transgender Health (WPATH) publishes the generally accepted standards of care (SoC) for gender-affirming care.</w:t>
      </w:r>
      <w:r w:rsidRPr="00CC18CD">
        <w:rPr>
          <w:rStyle w:val="FootnoteReference"/>
        </w:rPr>
        <w:t xml:space="preserve"> </w:t>
      </w:r>
      <w:r w:rsidRPr="00CC18CD">
        <w:rPr>
          <w:rStyle w:val="FootnoteReference"/>
        </w:rPr>
        <w:footnoteReference w:id="8"/>
      </w:r>
      <w:r w:rsidRPr="00CC18CD">
        <w:t xml:space="preserve"> The WPATH SoC was developed through systemic review of contemporary medical literature published on the treatment of gender </w:t>
      </w:r>
      <w:r w:rsidRPr="00CC18CD">
        <w:lastRenderedPageBreak/>
        <w:t>dysphoria.</w:t>
      </w:r>
      <w:r w:rsidRPr="00CC18CD">
        <w:rPr>
          <w:rStyle w:val="FootnoteReference"/>
        </w:rPr>
        <w:footnoteReference w:id="9"/>
      </w:r>
      <w:r w:rsidRPr="00CC18CD">
        <w:t xml:space="preserve"> The medical profession</w:t>
      </w:r>
      <w:r w:rsidRPr="00CC18CD">
        <w:rPr>
          <w:rStyle w:val="FootnoteReference"/>
        </w:rPr>
        <w:footnoteReference w:id="10"/>
      </w:r>
      <w:r w:rsidRPr="00CC18CD">
        <w:t xml:space="preserve"> and courts,</w:t>
      </w:r>
      <w:r w:rsidRPr="00CC18CD">
        <w:rPr>
          <w:rStyle w:val="FootnoteReference"/>
        </w:rPr>
        <w:footnoteReference w:id="11"/>
      </w:r>
      <w:r w:rsidRPr="00CC18CD">
        <w:t xml:space="preserve"> widely recognize the WPATH SoC as the authoritative standard of care for the treatment of gender dysphoria.</w:t>
      </w:r>
    </w:p>
    <w:p w14:paraId="5518C328" w14:textId="77777777" w:rsidR="002F648F" w:rsidRPr="00CC18CD" w:rsidRDefault="002F648F" w:rsidP="002F648F">
      <w:pPr>
        <w:pStyle w:val="Body"/>
        <w:rPr>
          <w:highlight w:val="green"/>
        </w:rPr>
      </w:pPr>
      <w:r w:rsidRPr="00CC18CD">
        <w:rPr>
          <w:highlight w:val="green"/>
        </w:rPr>
        <w:t xml:space="preserve">You will state that your plan references the WPATH standards. If your plan does not, please delete this sentence. This information would be found in your health insurance company’s clinical criteria/medical coverage policy. To find out if your plan references WPATH, please </w:t>
      </w:r>
      <w:hyperlink r:id="rId8" w:anchor="get-the-clinical-criteria" w:history="1">
        <w:r w:rsidRPr="00CC18CD">
          <w:rPr>
            <w:rStyle w:val="Hyperlink"/>
            <w:highlight w:val="green"/>
          </w:rPr>
          <w:t>check our website</w:t>
        </w:r>
      </w:hyperlink>
      <w:r w:rsidRPr="00CC18CD">
        <w:rPr>
          <w:highlight w:val="green"/>
        </w:rPr>
        <w:t xml:space="preserve"> for instructions on how find the clinical criteria/medical coverage policy. </w:t>
      </w:r>
    </w:p>
    <w:p w14:paraId="3203C04E" w14:textId="77777777" w:rsidR="002F648F" w:rsidRPr="00CC18CD" w:rsidRDefault="002F648F" w:rsidP="002F648F">
      <w:pPr>
        <w:pStyle w:val="Body"/>
      </w:pPr>
      <w:r w:rsidRPr="00CC18CD">
        <w:t xml:space="preserve">The WPATH SoC explicitly finds that </w:t>
      </w:r>
      <w:r w:rsidRPr="00CC18CD">
        <w:rPr>
          <w:highlight w:val="yellow"/>
        </w:rPr>
        <w:t>Procedure Name</w:t>
      </w:r>
      <w:r w:rsidRPr="00CC18CD">
        <w:t xml:space="preserve"> is medically necessary for the treatment of gender dysphoria.</w:t>
      </w:r>
      <w:r w:rsidRPr="00CC18CD">
        <w:rPr>
          <w:rStyle w:val="FootnoteReference"/>
        </w:rPr>
        <w:footnoteReference w:id="12"/>
      </w:r>
    </w:p>
    <w:p w14:paraId="54F543F4" w14:textId="77777777" w:rsidR="002F648F" w:rsidRPr="00CC18CD" w:rsidRDefault="002F648F" w:rsidP="002F648F">
      <w:pPr>
        <w:pStyle w:val="Heading2"/>
      </w:pPr>
      <w:r w:rsidRPr="00CC18CD">
        <w:t>The procedure is rendered in the least intensive setting that is appropriate</w:t>
      </w:r>
    </w:p>
    <w:p w14:paraId="603CDCC0" w14:textId="77777777" w:rsidR="002F648F" w:rsidRPr="00CC18CD" w:rsidRDefault="002F648F" w:rsidP="002F648F">
      <w:pPr>
        <w:pStyle w:val="Body"/>
        <w:rPr>
          <w:highlight w:val="green"/>
        </w:rPr>
      </w:pPr>
      <w:r w:rsidRPr="00CC18CD">
        <w:rPr>
          <w:highlight w:val="green"/>
        </w:rPr>
        <w:t>Describe the procedures you need and state that there is no equivalent non-surgical intervention. See the explanation document for more detailed instructions.</w:t>
      </w:r>
    </w:p>
    <w:p w14:paraId="19EDAE49" w14:textId="259D983A" w:rsidR="002F648F" w:rsidRPr="00CC18CD" w:rsidRDefault="002F648F" w:rsidP="002F648F">
      <w:pPr>
        <w:pStyle w:val="Body"/>
      </w:pPr>
      <w:r w:rsidRPr="00CC18CD">
        <w:rPr>
          <w:highlight w:val="yellow"/>
        </w:rPr>
        <w:t>Procedure Name</w:t>
      </w:r>
      <w:r w:rsidRPr="00CC18CD">
        <w:t xml:space="preserve"> meets </w:t>
      </w:r>
      <w:r w:rsidR="006F6709" w:rsidRPr="00CC18CD">
        <w:rPr>
          <w:highlight w:val="yellow"/>
        </w:rPr>
        <w:t>I</w:t>
      </w:r>
      <w:r w:rsidRPr="00CC18CD">
        <w:rPr>
          <w:highlight w:val="yellow"/>
        </w:rPr>
        <w:t>nsurer</w:t>
      </w:r>
      <w:r w:rsidRPr="00CC18CD">
        <w:t>’s definition of medical necessity and must be covered.</w:t>
      </w:r>
    </w:p>
    <w:p w14:paraId="4E43D5A6" w14:textId="77777777" w:rsidR="002F648F" w:rsidRPr="00CC18CD" w:rsidRDefault="002F648F" w:rsidP="002F648F">
      <w:pPr>
        <w:pStyle w:val="Heading1"/>
      </w:pPr>
      <w:r w:rsidRPr="00CC18CD">
        <w:t>Conclusion</w:t>
      </w:r>
    </w:p>
    <w:p w14:paraId="1B6824D0" w14:textId="77777777" w:rsidR="002F648F" w:rsidRPr="00CC18CD" w:rsidRDefault="002F648F" w:rsidP="002F648F">
      <w:pPr>
        <w:pStyle w:val="Body"/>
      </w:pPr>
      <w:r w:rsidRPr="00CC18CD">
        <w:rPr>
          <w:highlight w:val="yellow"/>
        </w:rPr>
        <w:t>Insurer’s</w:t>
      </w:r>
      <w:r w:rsidRPr="00CC18CD">
        <w:t xml:space="preserve"> denial of coverage of </w:t>
      </w:r>
      <w:r w:rsidRPr="00CC18CD">
        <w:rPr>
          <w:highlight w:val="yellow"/>
        </w:rPr>
        <w:t>Procedure Name</w:t>
      </w:r>
      <w:r w:rsidRPr="00CC18CD">
        <w:t xml:space="preserve"> to treat gender dysphoria is incorrect, as the procedure is medically necessary. </w:t>
      </w:r>
      <w:r w:rsidRPr="00CC18CD">
        <w:rPr>
          <w:highlight w:val="yellow"/>
        </w:rPr>
        <w:t>Procedure Name</w:t>
      </w:r>
      <w:r w:rsidRPr="00CC18CD">
        <w:t xml:space="preserve"> is appropriate and necessary for the treatment of gender dysphoria. It is clinically appropriate and within generally accepted standards of good medical practice. WPATH’s Standards of Care makes clear that </w:t>
      </w:r>
      <w:r w:rsidRPr="00CC18CD">
        <w:rPr>
          <w:highlight w:val="yellow"/>
        </w:rPr>
        <w:t>Procedure Name</w:t>
      </w:r>
      <w:r w:rsidRPr="00CC18CD">
        <w:t xml:space="preserve"> is a medically necessary surgical intervention for the treatment of gender dysphoria, and it established criteria </w:t>
      </w:r>
      <w:r w:rsidRPr="00CC18CD">
        <w:lastRenderedPageBreak/>
        <w:t xml:space="preserve">for undergoing </w:t>
      </w:r>
      <w:r w:rsidRPr="00CC18CD">
        <w:rPr>
          <w:highlight w:val="yellow"/>
        </w:rPr>
        <w:t>Procedure Name</w:t>
      </w:r>
      <w:r w:rsidRPr="00CC18CD">
        <w:t>, all of which are met.</w:t>
      </w:r>
      <w:r w:rsidRPr="00CC18CD">
        <w:rPr>
          <w:rStyle w:val="FootnoteReference"/>
        </w:rPr>
        <w:footnoteReference w:id="13"/>
      </w:r>
      <w:r w:rsidRPr="00CC18CD">
        <w:t xml:space="preserve"> </w:t>
      </w:r>
      <w:r w:rsidRPr="00CC18CD">
        <w:rPr>
          <w:highlight w:val="yellow"/>
        </w:rPr>
        <w:t>Procedure Name</w:t>
      </w:r>
      <w:r w:rsidRPr="00CC18CD">
        <w:t xml:space="preserve"> must be covered by the Plan.</w:t>
      </w:r>
    </w:p>
    <w:p w14:paraId="0558FB6F" w14:textId="69ECCA6F" w:rsidR="002F648F" w:rsidRPr="00CC18CD" w:rsidRDefault="002F648F" w:rsidP="002F648F">
      <w:pPr>
        <w:pStyle w:val="Body"/>
      </w:pPr>
      <w:r w:rsidRPr="00CC18CD">
        <w:t xml:space="preserve">Consequently, </w:t>
      </w:r>
      <w:r w:rsidRPr="00CC18CD">
        <w:rPr>
          <w:highlight w:val="yellow"/>
        </w:rPr>
        <w:t>Insurer’s</w:t>
      </w:r>
      <w:r w:rsidRPr="00CC18CD">
        <w:t xml:space="preserve"> denial must be overturned, and the Plan must be compelled to provide coverage of </w:t>
      </w:r>
      <w:r w:rsidR="006F6709" w:rsidRPr="00CC18CD">
        <w:rPr>
          <w:highlight w:val="yellow"/>
        </w:rPr>
        <w:t>P</w:t>
      </w:r>
      <w:r w:rsidRPr="00CC18CD">
        <w:rPr>
          <w:highlight w:val="yellow"/>
        </w:rPr>
        <w:t xml:space="preserve">rocedure </w:t>
      </w:r>
      <w:r w:rsidR="006F6709" w:rsidRPr="00CC18CD">
        <w:rPr>
          <w:highlight w:val="yellow"/>
        </w:rPr>
        <w:t>N</w:t>
      </w:r>
      <w:r w:rsidRPr="00CC18CD">
        <w:rPr>
          <w:highlight w:val="yellow"/>
        </w:rPr>
        <w:t>ame</w:t>
      </w:r>
      <w:r w:rsidRPr="00CC18CD">
        <w:t xml:space="preserve"> to treat gender dysphoria as required under the terms of the policy.</w:t>
      </w:r>
    </w:p>
    <w:p w14:paraId="41B289D2" w14:textId="77777777" w:rsidR="002F648F" w:rsidRPr="00CC18CD" w:rsidRDefault="002F648F" w:rsidP="002F648F">
      <w:pPr>
        <w:spacing w:line="240" w:lineRule="auto"/>
        <w:jc w:val="left"/>
        <w:rPr>
          <w:rFonts w:ascii="Times New Roman" w:hAnsi="Times New Roman" w:cs="Times New Roman"/>
          <w:sz w:val="24"/>
          <w:szCs w:val="24"/>
        </w:rPr>
      </w:pPr>
    </w:p>
    <w:p w14:paraId="795E157A" w14:textId="3C1EE8E1" w:rsidR="002F648F" w:rsidRPr="00CC18CD" w:rsidRDefault="00D90EEF" w:rsidP="002F648F">
      <w:pPr>
        <w:spacing w:line="240" w:lineRule="auto"/>
        <w:jc w:val="left"/>
        <w:rPr>
          <w:rFonts w:ascii="Times New Roman" w:hAnsi="Times New Roman" w:cs="Times New Roman"/>
          <w:sz w:val="24"/>
          <w:szCs w:val="24"/>
        </w:rPr>
      </w:pPr>
      <w:r w:rsidRPr="00CC18CD">
        <w:rPr>
          <w:rFonts w:ascii="Times New Roman" w:hAnsi="Times New Roman" w:cs="Times New Roman"/>
          <w:sz w:val="24"/>
          <w:szCs w:val="24"/>
        </w:rPr>
        <w:t>Sincerely</w:t>
      </w:r>
      <w:r w:rsidR="002F648F" w:rsidRPr="00CC18CD">
        <w:rPr>
          <w:rFonts w:ascii="Times New Roman" w:hAnsi="Times New Roman" w:cs="Times New Roman"/>
          <w:sz w:val="24"/>
          <w:szCs w:val="24"/>
        </w:rPr>
        <w:t>,</w:t>
      </w:r>
    </w:p>
    <w:p w14:paraId="296AE182" w14:textId="77777777" w:rsidR="002F648F" w:rsidRPr="00CC18CD" w:rsidRDefault="002F648F" w:rsidP="002F648F">
      <w:pPr>
        <w:spacing w:line="240" w:lineRule="auto"/>
        <w:jc w:val="left"/>
        <w:rPr>
          <w:rFonts w:ascii="Times New Roman" w:hAnsi="Times New Roman" w:cs="Times New Roman"/>
          <w:sz w:val="24"/>
          <w:szCs w:val="24"/>
        </w:rPr>
      </w:pPr>
    </w:p>
    <w:p w14:paraId="0459F932" w14:textId="77777777" w:rsidR="002F648F" w:rsidRPr="00CC18CD" w:rsidRDefault="002F648F" w:rsidP="002F648F">
      <w:pPr>
        <w:spacing w:line="240" w:lineRule="auto"/>
        <w:jc w:val="left"/>
        <w:rPr>
          <w:rFonts w:ascii="Times New Roman" w:hAnsi="Times New Roman" w:cs="Times New Roman"/>
          <w:sz w:val="24"/>
          <w:szCs w:val="24"/>
        </w:rPr>
      </w:pPr>
    </w:p>
    <w:p w14:paraId="0AB992CA" w14:textId="77777777" w:rsidR="002F648F" w:rsidRPr="00CC18CD" w:rsidRDefault="002F648F" w:rsidP="002F648F">
      <w:pPr>
        <w:spacing w:line="240" w:lineRule="auto"/>
        <w:jc w:val="left"/>
        <w:rPr>
          <w:rFonts w:ascii="Times New Roman" w:hAnsi="Times New Roman" w:cs="Times New Roman"/>
          <w:sz w:val="24"/>
          <w:szCs w:val="24"/>
        </w:rPr>
      </w:pPr>
    </w:p>
    <w:p w14:paraId="0C40F586" w14:textId="77777777" w:rsidR="002F648F" w:rsidRPr="00CC18CD" w:rsidRDefault="002F648F" w:rsidP="002F648F">
      <w:pPr>
        <w:spacing w:line="240" w:lineRule="auto"/>
        <w:jc w:val="left"/>
        <w:rPr>
          <w:rFonts w:ascii="Times New Roman" w:hAnsi="Times New Roman" w:cs="Times New Roman"/>
          <w:sz w:val="24"/>
          <w:szCs w:val="24"/>
        </w:rPr>
      </w:pPr>
    </w:p>
    <w:p w14:paraId="3317DA9D" w14:textId="77777777" w:rsidR="002F648F" w:rsidRPr="00CC18CD" w:rsidRDefault="002F648F" w:rsidP="002F648F">
      <w:pPr>
        <w:autoSpaceDE w:val="0"/>
        <w:autoSpaceDN w:val="0"/>
        <w:spacing w:line="240" w:lineRule="auto"/>
        <w:jc w:val="left"/>
        <w:rPr>
          <w:rFonts w:ascii="Times New Roman" w:hAnsi="Times New Roman" w:cs="Times New Roman"/>
          <w:color w:val="0563C2"/>
          <w:sz w:val="24"/>
          <w:szCs w:val="24"/>
        </w:rPr>
      </w:pPr>
      <w:r w:rsidRPr="00CC18CD">
        <w:rPr>
          <w:rFonts w:ascii="Times New Roman" w:hAnsi="Times New Roman" w:cs="Times New Roman"/>
          <w:sz w:val="24"/>
          <w:szCs w:val="24"/>
          <w:highlight w:val="yellow"/>
        </w:rPr>
        <w:t>Signature block</w:t>
      </w:r>
    </w:p>
    <w:p w14:paraId="352A9712" w14:textId="77777777" w:rsidR="002F648F" w:rsidRPr="00CC18CD" w:rsidRDefault="002F648F" w:rsidP="002F648F">
      <w:pPr>
        <w:spacing w:line="240" w:lineRule="auto"/>
        <w:jc w:val="left"/>
        <w:rPr>
          <w:rFonts w:ascii="Times New Roman" w:hAnsi="Times New Roman" w:cs="Times New Roman"/>
          <w:sz w:val="24"/>
          <w:szCs w:val="24"/>
        </w:rPr>
      </w:pPr>
    </w:p>
    <w:p w14:paraId="3DF265CE" w14:textId="77777777" w:rsidR="002F648F" w:rsidRPr="00CC18CD" w:rsidRDefault="002F648F" w:rsidP="002F648F">
      <w:pPr>
        <w:rPr>
          <w:rFonts w:ascii="Times New Roman" w:hAnsi="Times New Roman" w:cs="Times New Roman"/>
          <w:sz w:val="24"/>
          <w:szCs w:val="24"/>
        </w:rPr>
      </w:pPr>
      <w:r w:rsidRPr="00CC18CD">
        <w:rPr>
          <w:rFonts w:ascii="Times New Roman" w:hAnsi="Times New Roman" w:cs="Times New Roman"/>
          <w:sz w:val="24"/>
          <w:szCs w:val="24"/>
        </w:rPr>
        <w:t>Exhibits:</w:t>
      </w:r>
    </w:p>
    <w:p w14:paraId="173868A1" w14:textId="77777777" w:rsidR="002F648F" w:rsidRPr="00CC18CD" w:rsidRDefault="002F648F" w:rsidP="002F648F">
      <w:pPr>
        <w:jc w:val="left"/>
        <w:rPr>
          <w:rFonts w:ascii="Times New Roman" w:hAnsi="Times New Roman" w:cs="Times New Roman"/>
          <w:sz w:val="24"/>
          <w:szCs w:val="24"/>
        </w:rPr>
      </w:pPr>
    </w:p>
    <w:p w14:paraId="6A12A554" w14:textId="77777777" w:rsidR="002F648F" w:rsidRPr="00CC18CD" w:rsidRDefault="002F648F" w:rsidP="002F648F">
      <w:pPr>
        <w:jc w:val="left"/>
        <w:rPr>
          <w:rFonts w:ascii="Times New Roman" w:hAnsi="Times New Roman" w:cs="Times New Roman"/>
          <w:sz w:val="24"/>
          <w:szCs w:val="24"/>
        </w:rPr>
      </w:pPr>
      <w:r w:rsidRPr="00CC18CD">
        <w:rPr>
          <w:rFonts w:ascii="Times New Roman" w:hAnsi="Times New Roman" w:cs="Times New Roman"/>
          <w:sz w:val="24"/>
          <w:szCs w:val="24"/>
          <w:highlight w:val="green"/>
        </w:rPr>
        <w:t xml:space="preserve">[Attach the following: any provider letters, consultation, and/or visit notes, denials or other information that you referenced as exhibits. You can then attach any information that you did not reference but feel they should look at when they review your denial. This can include excerpts from the medical or clinical policy, any extra correspondence about the denial from the insurance company. Finally, please check our website to see if we have a </w:t>
      </w:r>
      <w:hyperlink r:id="rId9" w:history="1">
        <w:r w:rsidRPr="00CC18CD">
          <w:rPr>
            <w:rStyle w:val="Hyperlink"/>
            <w:rFonts w:ascii="Times New Roman" w:hAnsi="Times New Roman" w:cs="Times New Roman"/>
            <w:sz w:val="24"/>
            <w:szCs w:val="24"/>
            <w:highlight w:val="green"/>
          </w:rPr>
          <w:t>medical necessity literature review</w:t>
        </w:r>
      </w:hyperlink>
      <w:r w:rsidRPr="00CC18CD">
        <w:rPr>
          <w:rFonts w:ascii="Times New Roman" w:hAnsi="Times New Roman" w:cs="Times New Roman"/>
          <w:sz w:val="24"/>
          <w:szCs w:val="24"/>
          <w:highlight w:val="green"/>
        </w:rPr>
        <w:t xml:space="preserve"> that you can attach as a final exhibit to support your appeal.]</w:t>
      </w:r>
    </w:p>
    <w:p w14:paraId="685D743C" w14:textId="77777777" w:rsidR="002F648F" w:rsidRPr="00CC18CD" w:rsidRDefault="002F648F" w:rsidP="002F648F">
      <w:pPr>
        <w:jc w:val="left"/>
        <w:rPr>
          <w:rFonts w:ascii="Times New Roman" w:hAnsi="Times New Roman" w:cs="Times New Roman"/>
          <w:sz w:val="24"/>
          <w:szCs w:val="24"/>
        </w:rPr>
      </w:pPr>
    </w:p>
    <w:p w14:paraId="64411123" w14:textId="77777777" w:rsidR="002F648F" w:rsidRPr="00CC18CD" w:rsidRDefault="002F648F" w:rsidP="002F648F">
      <w:pPr>
        <w:jc w:val="left"/>
        <w:rPr>
          <w:rFonts w:ascii="Times New Roman" w:hAnsi="Times New Roman" w:cs="Times New Roman"/>
          <w:sz w:val="24"/>
          <w:szCs w:val="24"/>
        </w:rPr>
      </w:pPr>
    </w:p>
    <w:p w14:paraId="07056A34" w14:textId="77777777" w:rsidR="008933F5" w:rsidRPr="00CC18CD" w:rsidRDefault="008933F5" w:rsidP="000959A6">
      <w:pPr>
        <w:spacing w:line="259" w:lineRule="auto"/>
        <w:jc w:val="left"/>
        <w:rPr>
          <w:rFonts w:ascii="Times New Roman" w:hAnsi="Times New Roman" w:cs="Times New Roman"/>
          <w:sz w:val="24"/>
          <w:szCs w:val="24"/>
        </w:rPr>
      </w:pPr>
    </w:p>
    <w:sectPr w:rsidR="008933F5" w:rsidRPr="00CC18CD" w:rsidSect="006D6A1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6A11" w14:textId="77777777" w:rsidR="00257668" w:rsidRDefault="00257668" w:rsidP="002F648F">
      <w:pPr>
        <w:spacing w:after="0" w:line="240" w:lineRule="auto"/>
      </w:pPr>
      <w:r>
        <w:separator/>
      </w:r>
    </w:p>
  </w:endnote>
  <w:endnote w:type="continuationSeparator" w:id="0">
    <w:p w14:paraId="1695C4C8" w14:textId="77777777" w:rsidR="00257668" w:rsidRDefault="00257668" w:rsidP="002F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A158" w14:textId="77777777" w:rsidR="00257668" w:rsidRDefault="00257668" w:rsidP="002F648F">
      <w:pPr>
        <w:spacing w:after="0" w:line="240" w:lineRule="auto"/>
      </w:pPr>
      <w:r>
        <w:separator/>
      </w:r>
    </w:p>
  </w:footnote>
  <w:footnote w:type="continuationSeparator" w:id="0">
    <w:p w14:paraId="2FCDFF2F" w14:textId="77777777" w:rsidR="00257668" w:rsidRDefault="00257668" w:rsidP="002F648F">
      <w:pPr>
        <w:spacing w:after="0" w:line="240" w:lineRule="auto"/>
      </w:pPr>
      <w:r>
        <w:continuationSeparator/>
      </w:r>
    </w:p>
  </w:footnote>
  <w:footnote w:id="1">
    <w:p w14:paraId="2F3B68C6" w14:textId="2C7CE55D" w:rsidR="002F648F" w:rsidRPr="00816989" w:rsidRDefault="002F648F" w:rsidP="002F648F">
      <w:pPr>
        <w:pStyle w:val="FootnoteText"/>
      </w:pPr>
      <w:r w:rsidRPr="00816989">
        <w:rPr>
          <w:rStyle w:val="FootnoteReference"/>
        </w:rPr>
        <w:footnoteRef/>
      </w:r>
      <w:r w:rsidRPr="00816989">
        <w:t xml:space="preserve"> </w:t>
      </w:r>
      <w:r w:rsidR="00531F58" w:rsidRPr="00531F58">
        <w:t>What We Know Project, Cornell University, “</w:t>
      </w:r>
      <w:r w:rsidR="00531F58" w:rsidRPr="006D6A1C">
        <w:rPr>
          <w:i/>
          <w:iCs/>
        </w:rPr>
        <w:t>What Does the Scholarly Research Say about the Effect of Gender Transition on Transgender Well-Being</w:t>
      </w:r>
      <w:r w:rsidR="00531F58" w:rsidRPr="00531F58">
        <w:t>?” (online literature review), 2018</w:t>
      </w:r>
      <w:r w:rsidR="00531F58">
        <w:t xml:space="preserve">, </w:t>
      </w:r>
      <w:hyperlink r:id="rId1" w:history="1">
        <w:r w:rsidR="00531F58" w:rsidRPr="00C36092">
          <w:rPr>
            <w:rStyle w:val="Hyperlink"/>
          </w:rPr>
          <w:t>https://whatweknow.inequality.cornell.edu/topics/lgbt-equality/what-does-the-scholarly-research-say-about-the-well-being-of-transgender-people/</w:t>
        </w:r>
      </w:hyperlink>
      <w:r w:rsidR="00531F58">
        <w:t xml:space="preserve"> </w:t>
      </w:r>
    </w:p>
  </w:footnote>
  <w:footnote w:id="2">
    <w:p w14:paraId="152F2D7A" w14:textId="77777777" w:rsidR="002F648F" w:rsidRPr="00816989" w:rsidRDefault="002F648F" w:rsidP="002F648F">
      <w:pPr>
        <w:pStyle w:val="FootnoteText"/>
      </w:pPr>
      <w:r w:rsidRPr="00816989">
        <w:rPr>
          <w:rStyle w:val="FootnoteReference"/>
        </w:rPr>
        <w:footnoteRef/>
      </w:r>
      <w:r w:rsidRPr="00816989">
        <w:t xml:space="preserve"> </w:t>
      </w:r>
      <w:r>
        <w:t xml:space="preserve">Am. Psych. Ass’n, </w:t>
      </w:r>
      <w:r w:rsidRPr="00984C2A">
        <w:rPr>
          <w:smallCaps/>
        </w:rPr>
        <w:t>Diagnostic and Statistical Manual of Mental Disorders: DSM-5</w:t>
      </w:r>
      <w:r>
        <w:t xml:space="preserve"> (</w:t>
      </w:r>
      <w:r w:rsidRPr="00816989">
        <w:t>5th ed.</w:t>
      </w:r>
      <w:r>
        <w:t xml:space="preserve"> 2013)</w:t>
      </w:r>
      <w:r w:rsidRPr="00816989">
        <w:t>,</w:t>
      </w:r>
      <w:r>
        <w:t xml:space="preserve"> </w:t>
      </w:r>
      <w:r w:rsidRPr="004C113E">
        <w:t>https://doi.org/10.1176/appi.books.9780890425596</w:t>
      </w:r>
      <w:r w:rsidRPr="00816989">
        <w:t>.</w:t>
      </w:r>
    </w:p>
  </w:footnote>
  <w:footnote w:id="3">
    <w:p w14:paraId="4DF067FA" w14:textId="77777777" w:rsidR="002F648F" w:rsidRPr="00A22798" w:rsidRDefault="002F648F" w:rsidP="002F648F">
      <w:pPr>
        <w:pStyle w:val="FootnoteText"/>
      </w:pPr>
      <w:r>
        <w:rPr>
          <w:rStyle w:val="FootnoteReference"/>
        </w:rPr>
        <w:footnoteRef/>
      </w:r>
      <w:r>
        <w:t xml:space="preserve"> </w:t>
      </w:r>
      <w:bookmarkStart w:id="2" w:name="_Hlk144814207"/>
      <w:r>
        <w:t xml:space="preserve">van de Grift, Tim C., et al., </w:t>
      </w:r>
      <w:r w:rsidRPr="00AB4C80">
        <w:rPr>
          <w:i/>
          <w:iCs/>
        </w:rPr>
        <w:t>Surgical Satisfaction, Quality of Life, and Their Association After</w:t>
      </w:r>
      <w:r>
        <w:rPr>
          <w:i/>
          <w:iCs/>
        </w:rPr>
        <w:t xml:space="preserve"> </w:t>
      </w:r>
      <w:r w:rsidRPr="00AB4C80">
        <w:rPr>
          <w:i/>
          <w:iCs/>
        </w:rPr>
        <w:t>Gender-Affirming Surgery: A Follow-up Study</w:t>
      </w:r>
      <w:r>
        <w:t xml:space="preserve">, 44 </w:t>
      </w:r>
      <w:r w:rsidRPr="00984C2A">
        <w:rPr>
          <w:smallCaps/>
        </w:rPr>
        <w:t>J. Sex &amp; Marital Therapy</w:t>
      </w:r>
      <w:r>
        <w:t xml:space="preserve"> 138, 138 (2018).</w:t>
      </w:r>
    </w:p>
    <w:bookmarkEnd w:id="2"/>
  </w:footnote>
  <w:footnote w:id="4">
    <w:p w14:paraId="1AD1C6AD" w14:textId="77777777" w:rsidR="002F648F" w:rsidRPr="00A22798" w:rsidRDefault="002F648F" w:rsidP="002F648F">
      <w:pPr>
        <w:pStyle w:val="FootnoteText"/>
      </w:pPr>
      <w:r>
        <w:rPr>
          <w:rStyle w:val="FootnoteReference"/>
        </w:rPr>
        <w:footnoteRef/>
      </w:r>
      <w:r>
        <w:t xml:space="preserve"> </w:t>
      </w:r>
      <w:r>
        <w:rPr>
          <w:i/>
          <w:iCs/>
        </w:rPr>
        <w:t>Id</w:t>
      </w:r>
      <w:r>
        <w:t>.</w:t>
      </w:r>
    </w:p>
  </w:footnote>
  <w:footnote w:id="5">
    <w:p w14:paraId="7CBFA10D" w14:textId="77777777" w:rsidR="002F648F" w:rsidRDefault="002F648F" w:rsidP="002F648F">
      <w:pPr>
        <w:pStyle w:val="FootnoteText"/>
      </w:pPr>
      <w:r>
        <w:rPr>
          <w:rStyle w:val="FootnoteReference"/>
        </w:rPr>
        <w:footnoteRef/>
      </w:r>
      <w:r>
        <w:t xml:space="preserve"> </w:t>
      </w:r>
      <w:r w:rsidRPr="00816989">
        <w:t>W</w:t>
      </w:r>
      <w:r>
        <w:t>orld Professional Association for Transgender Health</w:t>
      </w:r>
      <w:r w:rsidRPr="00816989">
        <w:t xml:space="preserve">, </w:t>
      </w:r>
      <w:r w:rsidRPr="00816989">
        <w:rPr>
          <w:i/>
        </w:rPr>
        <w:t>Standards of Care for the Health of Transsexual, Transgender, and Gender Nonconforming People</w:t>
      </w:r>
      <w:r>
        <w:rPr>
          <w:iCs/>
        </w:rPr>
        <w:t xml:space="preserve">, 23 </w:t>
      </w:r>
      <w:r w:rsidRPr="00984C2A">
        <w:rPr>
          <w:iCs/>
          <w:smallCaps/>
        </w:rPr>
        <w:t>Int’l J. Transgenderism</w:t>
      </w:r>
      <w:r>
        <w:rPr>
          <w:iCs/>
        </w:rPr>
        <w:t xml:space="preserve"> S1,</w:t>
      </w:r>
      <w:r w:rsidRPr="00816989">
        <w:rPr>
          <w:i/>
        </w:rPr>
        <w:t xml:space="preserve"> </w:t>
      </w:r>
      <w:r w:rsidRPr="00816989">
        <w:rPr>
          <w:iCs/>
        </w:rPr>
        <w:t>S</w:t>
      </w:r>
      <w:r>
        <w:rPr>
          <w:iCs/>
        </w:rPr>
        <w:t>7</w:t>
      </w:r>
      <w:r w:rsidRPr="00816989">
        <w:rPr>
          <w:iCs/>
        </w:rPr>
        <w:t xml:space="preserve"> </w:t>
      </w:r>
      <w:r w:rsidRPr="00816989">
        <w:t>(8th ed. 2022), https://www.tandfonline.com/doi/full/10.1080/26895269.2022.2100644</w:t>
      </w:r>
      <w:r w:rsidRPr="00816989">
        <w:rPr>
          <w:rStyle w:val="Hyperlink"/>
        </w:rPr>
        <w:t xml:space="preserve"> </w:t>
      </w:r>
      <w:r w:rsidRPr="00816989">
        <w:t>[hereinafter WPATH SOC8]</w:t>
      </w:r>
      <w:r>
        <w:t>.</w:t>
      </w:r>
    </w:p>
  </w:footnote>
  <w:footnote w:id="6">
    <w:p w14:paraId="5E92777E" w14:textId="77777777" w:rsidR="002F648F" w:rsidRPr="00816989" w:rsidRDefault="002F648F" w:rsidP="002F648F">
      <w:pPr>
        <w:pStyle w:val="FootnoteText"/>
      </w:pPr>
      <w:r w:rsidRPr="00816989">
        <w:rPr>
          <w:rStyle w:val="FootnoteReference"/>
        </w:rPr>
        <w:footnoteRef/>
      </w:r>
      <w:r w:rsidRPr="00816989">
        <w:t xml:space="preserve"> WPATH</w:t>
      </w:r>
      <w:r>
        <w:t xml:space="preserve"> SOC7</w:t>
      </w:r>
      <w:r w:rsidRPr="00816989">
        <w:t xml:space="preserve">, </w:t>
      </w:r>
      <w:r w:rsidRPr="00984C2A">
        <w:rPr>
          <w:i/>
          <w:iCs/>
        </w:rPr>
        <w:t>Standards of Care for the Health of Transsexual, Transgender, and Gender Nonconforming People</w:t>
      </w:r>
      <w:r>
        <w:t xml:space="preserve">, 13 </w:t>
      </w:r>
      <w:r w:rsidRPr="00984C2A">
        <w:rPr>
          <w:smallCaps/>
        </w:rPr>
        <w:t>Int’l J. Transgenderism</w:t>
      </w:r>
      <w:r>
        <w:t xml:space="preserve"> 165, 218-19</w:t>
      </w:r>
      <w:r w:rsidRPr="00984C2A">
        <w:rPr>
          <w:i/>
          <w:iCs/>
        </w:rPr>
        <w:t xml:space="preserve"> </w:t>
      </w:r>
      <w:r w:rsidRPr="00816989">
        <w:t>(7th Ed.</w:t>
      </w:r>
      <w:r>
        <w:t xml:space="preserve"> 2012</w:t>
      </w:r>
      <w:r w:rsidRPr="00816989">
        <w:t xml:space="preserve">), </w:t>
      </w:r>
    </w:p>
    <w:p w14:paraId="33FEFBB5" w14:textId="4E77F621" w:rsidR="002F648F" w:rsidRPr="00686582" w:rsidRDefault="002F648F" w:rsidP="002F648F">
      <w:pPr>
        <w:pStyle w:val="FootnoteText"/>
      </w:pPr>
      <w:hyperlink r:id="rId2" w:history="1">
        <w:r w:rsidRPr="00E5114F">
          <w:rPr>
            <w:rStyle w:val="Hyperlink"/>
          </w:rPr>
          <w:t>https://www.wpath.org/media/cms/Documents/SOC%20v7/SOC%20V7_English2012.pdf?_t=1613669341</w:t>
        </w:r>
      </w:hyperlink>
      <w:r w:rsidRPr="00816989">
        <w:t>.</w:t>
      </w:r>
      <w:r>
        <w:t xml:space="preserve"> The Eighth version of the Standards of Care continues to reflect that surgery is </w:t>
      </w:r>
      <w:r w:rsidR="009D4B08">
        <w:t xml:space="preserve">medically necessary and </w:t>
      </w:r>
      <w:r>
        <w:t>a critical part of transgender-related care. WPATH SOC8 at</w:t>
      </w:r>
      <w:r w:rsidR="009D4B08">
        <w:t xml:space="preserve"> S18,</w:t>
      </w:r>
      <w:r>
        <w:t xml:space="preserve"> S128, </w:t>
      </w:r>
      <w:r>
        <w:rPr>
          <w:i/>
        </w:rPr>
        <w:t xml:space="preserve">supra </w:t>
      </w:r>
      <w:r>
        <w:t xml:space="preserve">note </w:t>
      </w:r>
      <w:fldSimple w:instr=" NOTEREF _Ref124946789 ">
        <w:r>
          <w:t>5</w:t>
        </w:r>
      </w:fldSimple>
      <w:r>
        <w:t>.</w:t>
      </w:r>
    </w:p>
  </w:footnote>
  <w:footnote w:id="7">
    <w:p w14:paraId="580B2DE9" w14:textId="77777777" w:rsidR="002F648F" w:rsidRPr="00816989" w:rsidRDefault="002F648F" w:rsidP="002F648F">
      <w:pPr>
        <w:pStyle w:val="FootnoteText"/>
      </w:pPr>
      <w:r w:rsidRPr="00816989">
        <w:rPr>
          <w:rStyle w:val="FootnoteReference"/>
        </w:rPr>
        <w:footnoteRef/>
      </w:r>
      <w:r w:rsidRPr="00816989">
        <w:t xml:space="preserve"> WPATH</w:t>
      </w:r>
      <w:r>
        <w:t xml:space="preserve"> SOC8 at S256, </w:t>
      </w:r>
      <w:r>
        <w:rPr>
          <w:i/>
        </w:rPr>
        <w:t xml:space="preserve">supra </w:t>
      </w:r>
      <w:r>
        <w:t xml:space="preserve">note </w:t>
      </w:r>
      <w:r>
        <w:fldChar w:fldCharType="begin"/>
      </w:r>
      <w:r>
        <w:instrText xml:space="preserve"> NOTEREF _Ref124946789 \h </w:instrText>
      </w:r>
      <w:r>
        <w:fldChar w:fldCharType="separate"/>
      </w:r>
      <w:r>
        <w:t>6</w:t>
      </w:r>
      <w:r>
        <w:fldChar w:fldCharType="end"/>
      </w:r>
      <w:r>
        <w:t>.</w:t>
      </w:r>
      <w:r w:rsidRPr="00816989">
        <w:t xml:space="preserve"> </w:t>
      </w:r>
    </w:p>
  </w:footnote>
  <w:footnote w:id="8">
    <w:p w14:paraId="3FED37B5" w14:textId="77777777" w:rsidR="002F648F" w:rsidRPr="00816989" w:rsidRDefault="002F648F" w:rsidP="002F648F">
      <w:pPr>
        <w:pStyle w:val="FootnoteText"/>
      </w:pPr>
      <w:r w:rsidRPr="00816989">
        <w:rPr>
          <w:rStyle w:val="FootnoteReference"/>
        </w:rPr>
        <w:footnoteRef/>
      </w:r>
      <w:r w:rsidRPr="00816989">
        <w:t xml:space="preserve"> Jason Rafferty, </w:t>
      </w:r>
      <w:r w:rsidRPr="00816989">
        <w:rPr>
          <w:i/>
          <w:iCs/>
        </w:rPr>
        <w:t>Ensuring Comprehensive Care and Support for Transgender and Gender-Diverse Children and Adolescents</w:t>
      </w:r>
      <w:r w:rsidRPr="00816989">
        <w:t xml:space="preserve">, </w:t>
      </w:r>
      <w:r>
        <w:t>1</w:t>
      </w:r>
      <w:r w:rsidRPr="00816989">
        <w:t>4</w:t>
      </w:r>
      <w:r>
        <w:t>2</w:t>
      </w:r>
      <w:r w:rsidRPr="00816989">
        <w:t xml:space="preserve"> </w:t>
      </w:r>
      <w:r w:rsidRPr="009954DC">
        <w:rPr>
          <w:smallCaps/>
        </w:rPr>
        <w:t>Pediatrics</w:t>
      </w:r>
      <w:r w:rsidRPr="00816989">
        <w:t xml:space="preserve"> (Oct. 2018), https://doi.org/10.1542/peds.2018-2162 (acknowledging that “[m]ost protocols for gender-affirming interventions incorporate World Professional Association of Transgender Health and Endocrine Society recommendations” and applying the SOC to recommendations and conclusions throughout). </w:t>
      </w:r>
    </w:p>
  </w:footnote>
  <w:footnote w:id="9">
    <w:p w14:paraId="0A7F0275" w14:textId="77777777" w:rsidR="002F648F" w:rsidRPr="00816989" w:rsidRDefault="002F648F" w:rsidP="002F648F">
      <w:pPr>
        <w:pStyle w:val="FootnoteText"/>
      </w:pPr>
      <w:r w:rsidRPr="00816989">
        <w:rPr>
          <w:rStyle w:val="FootnoteReference"/>
        </w:rPr>
        <w:footnoteRef/>
      </w:r>
      <w:r w:rsidRPr="00816989">
        <w:t xml:space="preserve"> Methodology of Development of SOC8, World Professional Association of Transgender Health, available at:  </w:t>
      </w:r>
      <w:hyperlink r:id="rId3" w:history="1">
        <w:r w:rsidRPr="00816989">
          <w:rPr>
            <w:rStyle w:val="Hyperlink"/>
          </w:rPr>
          <w:t>https://www.wpath.org/soc8/Methodology</w:t>
        </w:r>
      </w:hyperlink>
      <w:r w:rsidRPr="00816989">
        <w:t xml:space="preserve"> </w:t>
      </w:r>
    </w:p>
  </w:footnote>
  <w:footnote w:id="10">
    <w:p w14:paraId="458E04F7" w14:textId="77777777" w:rsidR="002F648F" w:rsidRPr="00816989" w:rsidRDefault="002F648F" w:rsidP="002F648F">
      <w:pPr>
        <w:pStyle w:val="FootnoteText"/>
      </w:pPr>
      <w:r w:rsidRPr="00816989">
        <w:rPr>
          <w:rStyle w:val="FootnoteReference"/>
        </w:rPr>
        <w:footnoteRef/>
      </w:r>
      <w:r w:rsidRPr="00816989">
        <w:t xml:space="preserve"> </w:t>
      </w:r>
      <w:r>
        <w:t xml:space="preserve">Brief of Am. Med. Ass’n et al. as Amici Curiae in Support of Plaintiffs-Appellees and Affirmance at 14, </w:t>
      </w:r>
      <w:r w:rsidRPr="00A3341C">
        <w:rPr>
          <w:i/>
          <w:iCs/>
        </w:rPr>
        <w:t>Corbitt v. Taylor</w:t>
      </w:r>
      <w:r>
        <w:t xml:space="preserve">, No. </w:t>
      </w:r>
      <w:r w:rsidRPr="008B1B32">
        <w:t>21-10486</w:t>
      </w:r>
      <w:r>
        <w:t xml:space="preserve"> (11th Cir. argued March 15, 2022), </w:t>
      </w:r>
      <w:r w:rsidRPr="008B1B32">
        <w:t>2021 WL 3421572</w:t>
      </w:r>
      <w:r>
        <w:t xml:space="preserve"> at *14</w:t>
      </w:r>
      <w:r w:rsidRPr="00816989">
        <w:t xml:space="preserve">; Am. Psych. Ass’n, </w:t>
      </w:r>
      <w:r w:rsidRPr="00816989">
        <w:rPr>
          <w:i/>
          <w:iCs/>
        </w:rPr>
        <w:t>Report of the APA Task Force Report on Gender Identity and Gender Variance</w:t>
      </w:r>
      <w:r w:rsidRPr="00816989">
        <w:t xml:space="preserve"> 32 (2009), http://www.apa.org/pi/lgbt/resources/policy/gender-identity-report.pdf (noting that the Standards of Care reflect “the consensus in expert opinion among professionals in this field on the basis of their collective clinical experience as well as a large body of outcome research”); Numerous leading medical groups recognize the medical necessity of treatments for gender dysphoria and, endorse such treatments and reject exclusions for transgender-related care); </w:t>
      </w:r>
      <w:r w:rsidRPr="00816989">
        <w:rPr>
          <w:i/>
          <w:iCs/>
        </w:rPr>
        <w:t>See</w:t>
      </w:r>
      <w:r w:rsidRPr="00816989">
        <w:t xml:space="preserve"> TLDEF, Medical Organization Statements, available at: </w:t>
      </w:r>
      <w:hyperlink r:id="rId4" w:history="1">
        <w:r w:rsidRPr="00816989">
          <w:rPr>
            <w:rStyle w:val="Hyperlink"/>
          </w:rPr>
          <w:t>https://transhealthproject.org/resources/medical-organization-statements/</w:t>
        </w:r>
      </w:hyperlink>
      <w:r w:rsidRPr="00816989">
        <w:t xml:space="preserve">.  </w:t>
      </w:r>
    </w:p>
  </w:footnote>
  <w:footnote w:id="11">
    <w:p w14:paraId="746155FD" w14:textId="77777777" w:rsidR="002F648F" w:rsidRPr="00816989" w:rsidRDefault="002F648F" w:rsidP="002F648F">
      <w:pPr>
        <w:pStyle w:val="FootnoteText"/>
      </w:pPr>
      <w:r w:rsidRPr="00816989">
        <w:rPr>
          <w:rStyle w:val="FootnoteReference"/>
        </w:rPr>
        <w:footnoteRef/>
      </w:r>
      <w:r w:rsidRPr="00816989">
        <w:t xml:space="preserve"> </w:t>
      </w:r>
      <w:r w:rsidRPr="00816989">
        <w:rPr>
          <w:i/>
          <w:iCs/>
        </w:rPr>
        <w:t>Grimm v. Gloucester Cnty. Sch. Bd</w:t>
      </w:r>
      <w:r w:rsidRPr="00816989">
        <w:t xml:space="preserve">., 972 F.3d 586, 595–96 (4th Cir. 2020), </w:t>
      </w:r>
      <w:r w:rsidRPr="00816989">
        <w:rPr>
          <w:i/>
          <w:iCs/>
        </w:rPr>
        <w:t>as amended</w:t>
      </w:r>
      <w:r w:rsidRPr="00816989">
        <w:t xml:space="preserve"> (Aug. 28, 2020), </w:t>
      </w:r>
      <w:r w:rsidRPr="00816989">
        <w:rPr>
          <w:i/>
        </w:rPr>
        <w:t>cert. denied</w:t>
      </w:r>
      <w:r w:rsidRPr="00816989">
        <w:t xml:space="preserve">, 141 S. Ct. 2878 (2021) (“[W]e now have modern accepted treatment protocols for gender dysphoria. Developed by the World Professional Association for Transgender Health (WPATH), the Standards of Care for the Health of Transsexual, Transgender, and Gender Nonconforming People (7th Version 2012) (hereinafter ‘WPATH Standards of Care’) represent the consensus approach of the medical and mental health community, Br. of Medical Amici 13, and have been recognized by various courts, including this one, as the authoritative standards of care, </w:t>
      </w:r>
      <w:r w:rsidRPr="00816989">
        <w:rPr>
          <w:i/>
          <w:iCs/>
        </w:rPr>
        <w:t>see</w:t>
      </w:r>
      <w:r w:rsidRPr="00816989">
        <w:t xml:space="preserve"> </w:t>
      </w:r>
      <w:r w:rsidRPr="00816989">
        <w:rPr>
          <w:i/>
          <w:iCs/>
        </w:rPr>
        <w:t>De’lonta v. Johnson</w:t>
      </w:r>
      <w:r w:rsidRPr="00816989">
        <w:t xml:space="preserve">, 708 F.3d 520, 522–23 (4th Cir. 2013); </w:t>
      </w:r>
      <w:r w:rsidRPr="00816989">
        <w:rPr>
          <w:i/>
          <w:iCs/>
        </w:rPr>
        <w:t>see also</w:t>
      </w:r>
      <w:r w:rsidRPr="00816989">
        <w:t xml:space="preserve"> Edmo, 935 F.3d at 769; </w:t>
      </w:r>
      <w:r w:rsidRPr="00816989">
        <w:rPr>
          <w:i/>
          <w:iCs/>
        </w:rPr>
        <w:t>Keohane v. Jones</w:t>
      </w:r>
      <w:r w:rsidRPr="00816989">
        <w:t xml:space="preserve">, 328 F. Supp. 3d 1288, 1294 (N.D. Fla. 2018), </w:t>
      </w:r>
      <w:r w:rsidRPr="00816989">
        <w:rPr>
          <w:i/>
          <w:iCs/>
        </w:rPr>
        <w:t>vacated sub nom.</w:t>
      </w:r>
      <w:r w:rsidRPr="00816989">
        <w:t xml:space="preserve"> </w:t>
      </w:r>
      <w:r w:rsidRPr="00816989">
        <w:rPr>
          <w:i/>
          <w:iCs/>
        </w:rPr>
        <w:t>Keohane v. Fla. Dep’t of Corrs. Sec’y</w:t>
      </w:r>
      <w:r w:rsidRPr="00816989">
        <w:t xml:space="preserve">, 952 F.3d 1257 (11th Cir. 2020). ‘There are no other competing, evidence-based standards that are accepted by any nationally or internationally recognized medical professional groups.’” </w:t>
      </w:r>
      <w:r w:rsidRPr="00816989">
        <w:rPr>
          <w:i/>
          <w:iCs/>
        </w:rPr>
        <w:t>Edmo</w:t>
      </w:r>
      <w:r w:rsidRPr="00816989">
        <w:t xml:space="preserve">, 935 F.3d at 769 (quoting </w:t>
      </w:r>
      <w:r w:rsidRPr="00816989">
        <w:rPr>
          <w:i/>
          <w:iCs/>
        </w:rPr>
        <w:t>Edmo v. Idaho Dep’t of Corr</w:t>
      </w:r>
      <w:r w:rsidRPr="00816989">
        <w:t xml:space="preserve">., 358 F. Supp. 3d 1103, 1125 (D. Idaho 2018)). </w:t>
      </w:r>
      <w:r w:rsidRPr="00816989">
        <w:rPr>
          <w:i/>
        </w:rPr>
        <w:t>See also Monroe v. Meeks</w:t>
      </w:r>
      <w:r w:rsidRPr="00816989">
        <w:t>, No. 3:18-CV-00156-NJR, 2022 WL 355100, at *2 (S.D. Ill. Feb. 7, 2022) (memorandum and order granting preliminary injunction) (acknowledging “[WPATH] Standards of Care for the treatment of gender dysphoria are the benchmark for appropriate care of individuals with this diagnosis.”);</w:t>
      </w:r>
    </w:p>
  </w:footnote>
  <w:footnote w:id="12">
    <w:p w14:paraId="552CB814" w14:textId="77777777" w:rsidR="002F648F" w:rsidRPr="00816989" w:rsidRDefault="002F648F" w:rsidP="002F648F">
      <w:pPr>
        <w:pStyle w:val="FootnoteText"/>
      </w:pPr>
      <w:r w:rsidRPr="00816989">
        <w:rPr>
          <w:rStyle w:val="FootnoteReference"/>
        </w:rPr>
        <w:footnoteRef/>
      </w:r>
      <w:r w:rsidRPr="00816989">
        <w:t xml:space="preserve"> WPATH SOC8, </w:t>
      </w:r>
      <w:r w:rsidRPr="00816989">
        <w:rPr>
          <w:i/>
          <w:iCs/>
        </w:rPr>
        <w:t xml:space="preserve">supra </w:t>
      </w:r>
      <w:r w:rsidRPr="00816989">
        <w:t>note</w:t>
      </w:r>
      <w:r>
        <w:t xml:space="preserve"> </w:t>
      </w:r>
      <w:r>
        <w:fldChar w:fldCharType="begin"/>
      </w:r>
      <w:r>
        <w:instrText xml:space="preserve"> NOTEREF _Ref124946789 \h </w:instrText>
      </w:r>
      <w:r>
        <w:fldChar w:fldCharType="separate"/>
      </w:r>
      <w:r>
        <w:t>16</w:t>
      </w:r>
      <w:r>
        <w:fldChar w:fldCharType="end"/>
      </w:r>
      <w:r w:rsidRPr="00816989">
        <w:t>,</w:t>
      </w:r>
      <w:r w:rsidRPr="00816989">
        <w:rPr>
          <w:i/>
          <w:iCs/>
        </w:rPr>
        <w:t xml:space="preserve"> </w:t>
      </w:r>
      <w:r w:rsidRPr="00816989">
        <w:t>at S129.</w:t>
      </w:r>
    </w:p>
  </w:footnote>
  <w:footnote w:id="13">
    <w:p w14:paraId="2F9ECA22" w14:textId="77777777" w:rsidR="002F648F" w:rsidRPr="00816989" w:rsidRDefault="002F648F" w:rsidP="002F648F">
      <w:pPr>
        <w:pStyle w:val="FootnoteText"/>
      </w:pPr>
      <w:r w:rsidRPr="00816989">
        <w:rPr>
          <w:rStyle w:val="FootnoteReference"/>
        </w:rPr>
        <w:footnoteRef/>
      </w:r>
      <w:r w:rsidRPr="00816989">
        <w:t xml:space="preserve"> </w:t>
      </w:r>
      <w:r w:rsidRPr="00816989">
        <w:rPr>
          <w:i/>
        </w:rPr>
        <w:t xml:space="preserve">See </w:t>
      </w:r>
      <w:r w:rsidRPr="00816989">
        <w:t xml:space="preserve">WPATH SOC8, </w:t>
      </w:r>
      <w:r w:rsidRPr="00816989">
        <w:rPr>
          <w:i/>
        </w:rPr>
        <w:t xml:space="preserve">supra </w:t>
      </w:r>
      <w:r w:rsidRPr="00816989">
        <w:t>note</w:t>
      </w:r>
      <w:r>
        <w:t xml:space="preserve"> </w:t>
      </w:r>
      <w:r>
        <w:fldChar w:fldCharType="begin"/>
      </w:r>
      <w:r>
        <w:instrText xml:space="preserve"> NOTEREF _Ref124946789 \h </w:instrText>
      </w:r>
      <w:r>
        <w:fldChar w:fldCharType="separate"/>
      </w:r>
      <w:r>
        <w:t>6</w:t>
      </w:r>
      <w:r>
        <w:fldChar w:fldCharType="end"/>
      </w:r>
      <w:r w:rsidRPr="008169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9E40" w14:textId="2A9E9786" w:rsidR="001F36EF" w:rsidRDefault="001F36EF" w:rsidP="001F36EF">
    <w:pPr>
      <w:pStyle w:val="Header"/>
      <w:tabs>
        <w:tab w:val="left" w:pos="7610"/>
      </w:tabs>
      <w:jc w:val="left"/>
    </w:pPr>
    <w:r>
      <w:tab/>
    </w:r>
    <w:r>
      <w:tab/>
    </w:r>
  </w:p>
  <w:p w14:paraId="198BAD7E" w14:textId="77777777" w:rsidR="001F36EF" w:rsidRDefault="001F36EF" w:rsidP="006D6A1C">
    <w:pPr>
      <w:pStyle w:val="Header"/>
      <w:tabs>
        <w:tab w:val="left" w:pos="761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3285"/>
    <w:multiLevelType w:val="hybridMultilevel"/>
    <w:tmpl w:val="AB3A4D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C847FF"/>
    <w:multiLevelType w:val="hybridMultilevel"/>
    <w:tmpl w:val="AD5C5572"/>
    <w:lvl w:ilvl="0" w:tplc="56CC52AA">
      <w:start w:val="1"/>
      <w:numFmt w:val="bullet"/>
      <w:lvlText w:val=""/>
      <w:lvlJc w:val="left"/>
      <w:pPr>
        <w:ind w:left="720" w:hanging="360"/>
      </w:pPr>
      <w:rPr>
        <w:rFonts w:ascii="Symbol" w:hAnsi="Symbol"/>
      </w:rPr>
    </w:lvl>
    <w:lvl w:ilvl="1" w:tplc="9AF2BAE6">
      <w:start w:val="1"/>
      <w:numFmt w:val="bullet"/>
      <w:lvlText w:val=""/>
      <w:lvlJc w:val="left"/>
      <w:pPr>
        <w:ind w:left="720" w:hanging="360"/>
      </w:pPr>
      <w:rPr>
        <w:rFonts w:ascii="Symbol" w:hAnsi="Symbol"/>
      </w:rPr>
    </w:lvl>
    <w:lvl w:ilvl="2" w:tplc="BC2C61F8">
      <w:start w:val="1"/>
      <w:numFmt w:val="bullet"/>
      <w:lvlText w:val=""/>
      <w:lvlJc w:val="left"/>
      <w:pPr>
        <w:ind w:left="720" w:hanging="360"/>
      </w:pPr>
      <w:rPr>
        <w:rFonts w:ascii="Symbol" w:hAnsi="Symbol"/>
      </w:rPr>
    </w:lvl>
    <w:lvl w:ilvl="3" w:tplc="F9D06826">
      <w:start w:val="1"/>
      <w:numFmt w:val="bullet"/>
      <w:lvlText w:val=""/>
      <w:lvlJc w:val="left"/>
      <w:pPr>
        <w:ind w:left="720" w:hanging="360"/>
      </w:pPr>
      <w:rPr>
        <w:rFonts w:ascii="Symbol" w:hAnsi="Symbol"/>
      </w:rPr>
    </w:lvl>
    <w:lvl w:ilvl="4" w:tplc="D960C9AE">
      <w:start w:val="1"/>
      <w:numFmt w:val="bullet"/>
      <w:lvlText w:val=""/>
      <w:lvlJc w:val="left"/>
      <w:pPr>
        <w:ind w:left="720" w:hanging="360"/>
      </w:pPr>
      <w:rPr>
        <w:rFonts w:ascii="Symbol" w:hAnsi="Symbol"/>
      </w:rPr>
    </w:lvl>
    <w:lvl w:ilvl="5" w:tplc="BED47236">
      <w:start w:val="1"/>
      <w:numFmt w:val="bullet"/>
      <w:lvlText w:val=""/>
      <w:lvlJc w:val="left"/>
      <w:pPr>
        <w:ind w:left="720" w:hanging="360"/>
      </w:pPr>
      <w:rPr>
        <w:rFonts w:ascii="Symbol" w:hAnsi="Symbol"/>
      </w:rPr>
    </w:lvl>
    <w:lvl w:ilvl="6" w:tplc="1A3CCD48">
      <w:start w:val="1"/>
      <w:numFmt w:val="bullet"/>
      <w:lvlText w:val=""/>
      <w:lvlJc w:val="left"/>
      <w:pPr>
        <w:ind w:left="720" w:hanging="360"/>
      </w:pPr>
      <w:rPr>
        <w:rFonts w:ascii="Symbol" w:hAnsi="Symbol"/>
      </w:rPr>
    </w:lvl>
    <w:lvl w:ilvl="7" w:tplc="F9D28B36">
      <w:start w:val="1"/>
      <w:numFmt w:val="bullet"/>
      <w:lvlText w:val=""/>
      <w:lvlJc w:val="left"/>
      <w:pPr>
        <w:ind w:left="720" w:hanging="360"/>
      </w:pPr>
      <w:rPr>
        <w:rFonts w:ascii="Symbol" w:hAnsi="Symbol"/>
      </w:rPr>
    </w:lvl>
    <w:lvl w:ilvl="8" w:tplc="09F8D3E4">
      <w:start w:val="1"/>
      <w:numFmt w:val="bullet"/>
      <w:lvlText w:val=""/>
      <w:lvlJc w:val="left"/>
      <w:pPr>
        <w:ind w:left="720" w:hanging="360"/>
      </w:pPr>
      <w:rPr>
        <w:rFonts w:ascii="Symbol" w:hAnsi="Symbol"/>
      </w:rPr>
    </w:lvl>
  </w:abstractNum>
  <w:abstractNum w:abstractNumId="2" w15:restartNumberingAfterBreak="0">
    <w:nsid w:val="1A584D49"/>
    <w:multiLevelType w:val="hybridMultilevel"/>
    <w:tmpl w:val="683C432E"/>
    <w:lvl w:ilvl="0" w:tplc="8A4E6E82">
      <w:start w:val="1"/>
      <w:numFmt w:val="bullet"/>
      <w:lvlText w:val=""/>
      <w:lvlJc w:val="left"/>
      <w:pPr>
        <w:ind w:left="720" w:hanging="360"/>
      </w:pPr>
      <w:rPr>
        <w:rFonts w:ascii="Symbol" w:hAnsi="Symbol"/>
      </w:rPr>
    </w:lvl>
    <w:lvl w:ilvl="1" w:tplc="031C9F70">
      <w:start w:val="1"/>
      <w:numFmt w:val="bullet"/>
      <w:lvlText w:val=""/>
      <w:lvlJc w:val="left"/>
      <w:pPr>
        <w:ind w:left="720" w:hanging="360"/>
      </w:pPr>
      <w:rPr>
        <w:rFonts w:ascii="Symbol" w:hAnsi="Symbol"/>
      </w:rPr>
    </w:lvl>
    <w:lvl w:ilvl="2" w:tplc="367EF460">
      <w:start w:val="1"/>
      <w:numFmt w:val="bullet"/>
      <w:lvlText w:val=""/>
      <w:lvlJc w:val="left"/>
      <w:pPr>
        <w:ind w:left="720" w:hanging="360"/>
      </w:pPr>
      <w:rPr>
        <w:rFonts w:ascii="Symbol" w:hAnsi="Symbol"/>
      </w:rPr>
    </w:lvl>
    <w:lvl w:ilvl="3" w:tplc="C00C1512">
      <w:start w:val="1"/>
      <w:numFmt w:val="bullet"/>
      <w:lvlText w:val=""/>
      <w:lvlJc w:val="left"/>
      <w:pPr>
        <w:ind w:left="720" w:hanging="360"/>
      </w:pPr>
      <w:rPr>
        <w:rFonts w:ascii="Symbol" w:hAnsi="Symbol"/>
      </w:rPr>
    </w:lvl>
    <w:lvl w:ilvl="4" w:tplc="9B62AAC8">
      <w:start w:val="1"/>
      <w:numFmt w:val="bullet"/>
      <w:lvlText w:val=""/>
      <w:lvlJc w:val="left"/>
      <w:pPr>
        <w:ind w:left="720" w:hanging="360"/>
      </w:pPr>
      <w:rPr>
        <w:rFonts w:ascii="Symbol" w:hAnsi="Symbol"/>
      </w:rPr>
    </w:lvl>
    <w:lvl w:ilvl="5" w:tplc="31AE265C">
      <w:start w:val="1"/>
      <w:numFmt w:val="bullet"/>
      <w:lvlText w:val=""/>
      <w:lvlJc w:val="left"/>
      <w:pPr>
        <w:ind w:left="720" w:hanging="360"/>
      </w:pPr>
      <w:rPr>
        <w:rFonts w:ascii="Symbol" w:hAnsi="Symbol"/>
      </w:rPr>
    </w:lvl>
    <w:lvl w:ilvl="6" w:tplc="FBFCB85A">
      <w:start w:val="1"/>
      <w:numFmt w:val="bullet"/>
      <w:lvlText w:val=""/>
      <w:lvlJc w:val="left"/>
      <w:pPr>
        <w:ind w:left="720" w:hanging="360"/>
      </w:pPr>
      <w:rPr>
        <w:rFonts w:ascii="Symbol" w:hAnsi="Symbol"/>
      </w:rPr>
    </w:lvl>
    <w:lvl w:ilvl="7" w:tplc="D85A83D4">
      <w:start w:val="1"/>
      <w:numFmt w:val="bullet"/>
      <w:lvlText w:val=""/>
      <w:lvlJc w:val="left"/>
      <w:pPr>
        <w:ind w:left="720" w:hanging="360"/>
      </w:pPr>
      <w:rPr>
        <w:rFonts w:ascii="Symbol" w:hAnsi="Symbol"/>
      </w:rPr>
    </w:lvl>
    <w:lvl w:ilvl="8" w:tplc="FDDC6D0E">
      <w:start w:val="1"/>
      <w:numFmt w:val="bullet"/>
      <w:lvlText w:val=""/>
      <w:lvlJc w:val="left"/>
      <w:pPr>
        <w:ind w:left="720" w:hanging="360"/>
      </w:pPr>
      <w:rPr>
        <w:rFonts w:ascii="Symbol" w:hAnsi="Symbol"/>
      </w:rPr>
    </w:lvl>
  </w:abstractNum>
  <w:abstractNum w:abstractNumId="3" w15:restartNumberingAfterBreak="0">
    <w:nsid w:val="210C0AF5"/>
    <w:multiLevelType w:val="hybridMultilevel"/>
    <w:tmpl w:val="CB784286"/>
    <w:lvl w:ilvl="0" w:tplc="74A077A2">
      <w:start w:val="1"/>
      <w:numFmt w:val="upperRoman"/>
      <w:pStyle w:val="Heading1"/>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71602"/>
    <w:multiLevelType w:val="hybridMultilevel"/>
    <w:tmpl w:val="1D6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7300F"/>
    <w:multiLevelType w:val="hybridMultilevel"/>
    <w:tmpl w:val="7BDC07B8"/>
    <w:lvl w:ilvl="0" w:tplc="7EB69F26">
      <w:start w:val="1"/>
      <w:numFmt w:val="upperLetter"/>
      <w:pStyle w:val="Heading2"/>
      <w:lvlText w:val="%1."/>
      <w:lvlJc w:val="left"/>
      <w:pPr>
        <w:ind w:left="4680" w:hanging="360"/>
      </w:pPr>
      <w:rPr>
        <w:rFonts w:hint="default"/>
      </w:rPr>
    </w:lvl>
    <w:lvl w:ilvl="1" w:tplc="8F424F76">
      <w:start w:val="1"/>
      <w:numFmt w:val="lowerLetter"/>
      <w:pStyle w:val="Heading3"/>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1578D"/>
    <w:multiLevelType w:val="hybridMultilevel"/>
    <w:tmpl w:val="24DC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816741">
    <w:abstractNumId w:val="3"/>
  </w:num>
  <w:num w:numId="2" w16cid:durableId="418796643">
    <w:abstractNumId w:val="5"/>
  </w:num>
  <w:num w:numId="3" w16cid:durableId="864950236">
    <w:abstractNumId w:val="0"/>
  </w:num>
  <w:num w:numId="4" w16cid:durableId="1162164428">
    <w:abstractNumId w:val="6"/>
  </w:num>
  <w:num w:numId="5" w16cid:durableId="1350715607">
    <w:abstractNumId w:val="4"/>
  </w:num>
  <w:num w:numId="6" w16cid:durableId="428426985">
    <w:abstractNumId w:val="2"/>
  </w:num>
  <w:num w:numId="7" w16cid:durableId="119854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F5"/>
    <w:rsid w:val="000959A6"/>
    <w:rsid w:val="00146310"/>
    <w:rsid w:val="001F36EF"/>
    <w:rsid w:val="00257668"/>
    <w:rsid w:val="002F648F"/>
    <w:rsid w:val="003E2E90"/>
    <w:rsid w:val="003F510A"/>
    <w:rsid w:val="00407FE7"/>
    <w:rsid w:val="0044200C"/>
    <w:rsid w:val="004447F5"/>
    <w:rsid w:val="0046196F"/>
    <w:rsid w:val="004A01F5"/>
    <w:rsid w:val="004F2B78"/>
    <w:rsid w:val="004F5F0A"/>
    <w:rsid w:val="00514232"/>
    <w:rsid w:val="00531F58"/>
    <w:rsid w:val="00580658"/>
    <w:rsid w:val="00680CC2"/>
    <w:rsid w:val="006D6A1C"/>
    <w:rsid w:val="006F6709"/>
    <w:rsid w:val="007F7B20"/>
    <w:rsid w:val="0080378F"/>
    <w:rsid w:val="008933F5"/>
    <w:rsid w:val="009366A4"/>
    <w:rsid w:val="00965A32"/>
    <w:rsid w:val="009D4B08"/>
    <w:rsid w:val="009E3C92"/>
    <w:rsid w:val="00B849FF"/>
    <w:rsid w:val="00CC18CD"/>
    <w:rsid w:val="00D70C80"/>
    <w:rsid w:val="00D90EEF"/>
    <w:rsid w:val="00DC44D2"/>
    <w:rsid w:val="00E20947"/>
    <w:rsid w:val="00E217AF"/>
    <w:rsid w:val="00E55CB6"/>
    <w:rsid w:val="00E7450C"/>
    <w:rsid w:val="00F52330"/>
    <w:rsid w:val="00FA37A4"/>
    <w:rsid w:val="00FC2BAD"/>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6544"/>
  <w15:chartTrackingRefBased/>
  <w15:docId w15:val="{866F9A1C-FE64-4A6F-9BBD-43CF4540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F5"/>
    <w:pPr>
      <w:spacing w:line="252" w:lineRule="auto"/>
      <w:jc w:val="both"/>
    </w:pPr>
    <w:rPr>
      <w:kern w:val="0"/>
      <w14:ligatures w14:val="none"/>
    </w:rPr>
  </w:style>
  <w:style w:type="paragraph" w:styleId="Heading1">
    <w:name w:val="heading 1"/>
    <w:basedOn w:val="ListParagraph"/>
    <w:next w:val="Normal"/>
    <w:link w:val="Heading1Char"/>
    <w:uiPriority w:val="9"/>
    <w:qFormat/>
    <w:rsid w:val="002F648F"/>
    <w:pPr>
      <w:keepNext/>
      <w:numPr>
        <w:numId w:val="1"/>
      </w:numPr>
      <w:spacing w:after="240" w:line="240" w:lineRule="auto"/>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2F648F"/>
    <w:pPr>
      <w:keepNext/>
      <w:numPr>
        <w:numId w:val="2"/>
      </w:numPr>
      <w:spacing w:after="240" w:line="240" w:lineRule="auto"/>
      <w:ind w:left="1080"/>
      <w:outlineLvl w:val="1"/>
    </w:pPr>
    <w:rPr>
      <w:rFonts w:ascii="Times New Roman" w:hAnsi="Times New Roman" w:cs="Times New Roman"/>
      <w:i/>
      <w:sz w:val="24"/>
      <w:szCs w:val="24"/>
    </w:rPr>
  </w:style>
  <w:style w:type="paragraph" w:styleId="Heading3">
    <w:name w:val="heading 3"/>
    <w:basedOn w:val="ListParagraph"/>
    <w:next w:val="Normal"/>
    <w:link w:val="Heading3Char"/>
    <w:uiPriority w:val="9"/>
    <w:unhideWhenUsed/>
    <w:qFormat/>
    <w:rsid w:val="002F648F"/>
    <w:pPr>
      <w:numPr>
        <w:ilvl w:val="1"/>
        <w:numId w:val="2"/>
      </w:numPr>
      <w:spacing w:after="240" w:line="240" w:lineRule="auto"/>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3F5"/>
    <w:rPr>
      <w:color w:val="0563C1" w:themeColor="hyperlink"/>
      <w:u w:val="single"/>
    </w:rPr>
  </w:style>
  <w:style w:type="character" w:styleId="CommentReference">
    <w:name w:val="annotation reference"/>
    <w:basedOn w:val="DefaultParagraphFont"/>
    <w:uiPriority w:val="99"/>
    <w:semiHidden/>
    <w:unhideWhenUsed/>
    <w:rsid w:val="008933F5"/>
    <w:rPr>
      <w:sz w:val="16"/>
      <w:szCs w:val="16"/>
    </w:rPr>
  </w:style>
  <w:style w:type="paragraph" w:styleId="CommentText">
    <w:name w:val="annotation text"/>
    <w:basedOn w:val="Normal"/>
    <w:link w:val="CommentTextChar"/>
    <w:uiPriority w:val="99"/>
    <w:unhideWhenUsed/>
    <w:rsid w:val="008933F5"/>
    <w:pPr>
      <w:spacing w:line="240" w:lineRule="auto"/>
    </w:pPr>
    <w:rPr>
      <w:sz w:val="20"/>
      <w:szCs w:val="20"/>
    </w:rPr>
  </w:style>
  <w:style w:type="character" w:customStyle="1" w:styleId="CommentTextChar">
    <w:name w:val="Comment Text Char"/>
    <w:basedOn w:val="DefaultParagraphFont"/>
    <w:link w:val="CommentText"/>
    <w:uiPriority w:val="99"/>
    <w:rsid w:val="008933F5"/>
    <w:rPr>
      <w:kern w:val="0"/>
      <w:sz w:val="20"/>
      <w:szCs w:val="20"/>
      <w14:ligatures w14:val="none"/>
    </w:rPr>
  </w:style>
  <w:style w:type="paragraph" w:customStyle="1" w:styleId="Default">
    <w:name w:val="Default"/>
    <w:rsid w:val="008933F5"/>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Body">
    <w:name w:val="Body"/>
    <w:basedOn w:val="BodyText"/>
    <w:link w:val="BodyChar"/>
    <w:qFormat/>
    <w:rsid w:val="008933F5"/>
    <w:pPr>
      <w:spacing w:after="240" w:line="240" w:lineRule="auto"/>
      <w:jc w:val="left"/>
    </w:pPr>
    <w:rPr>
      <w:rFonts w:ascii="Times New Roman" w:eastAsia="Times New Roman" w:hAnsi="Times New Roman" w:cs="Times New Roman"/>
      <w:sz w:val="24"/>
      <w:szCs w:val="24"/>
    </w:rPr>
  </w:style>
  <w:style w:type="character" w:customStyle="1" w:styleId="BodyChar">
    <w:name w:val="Body Char"/>
    <w:basedOn w:val="DefaultParagraphFont"/>
    <w:link w:val="Body"/>
    <w:rsid w:val="008933F5"/>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semiHidden/>
    <w:unhideWhenUsed/>
    <w:rsid w:val="008933F5"/>
    <w:pPr>
      <w:spacing w:after="120"/>
    </w:pPr>
  </w:style>
  <w:style w:type="character" w:customStyle="1" w:styleId="BodyTextChar">
    <w:name w:val="Body Text Char"/>
    <w:basedOn w:val="DefaultParagraphFont"/>
    <w:link w:val="BodyText"/>
    <w:uiPriority w:val="99"/>
    <w:semiHidden/>
    <w:rsid w:val="008933F5"/>
    <w:rPr>
      <w:kern w:val="0"/>
      <w14:ligatures w14:val="none"/>
    </w:rPr>
  </w:style>
  <w:style w:type="character" w:customStyle="1" w:styleId="Heading1Char">
    <w:name w:val="Heading 1 Char"/>
    <w:basedOn w:val="DefaultParagraphFont"/>
    <w:link w:val="Heading1"/>
    <w:uiPriority w:val="9"/>
    <w:rsid w:val="002F648F"/>
    <w:rPr>
      <w:rFonts w:ascii="Times New Roman" w:eastAsia="Arial" w:hAnsi="Times New Roman" w:cs="Times New Roman"/>
      <w:b/>
      <w:kern w:val="0"/>
      <w:sz w:val="24"/>
      <w:szCs w:val="24"/>
      <w:lang w:val="en"/>
      <w14:ligatures w14:val="none"/>
    </w:rPr>
  </w:style>
  <w:style w:type="character" w:customStyle="1" w:styleId="Heading2Char">
    <w:name w:val="Heading 2 Char"/>
    <w:basedOn w:val="DefaultParagraphFont"/>
    <w:link w:val="Heading2"/>
    <w:uiPriority w:val="9"/>
    <w:rsid w:val="002F648F"/>
    <w:rPr>
      <w:rFonts w:ascii="Times New Roman" w:eastAsia="Arial" w:hAnsi="Times New Roman" w:cs="Times New Roman"/>
      <w:i/>
      <w:kern w:val="0"/>
      <w:sz w:val="24"/>
      <w:szCs w:val="24"/>
      <w:lang w:val="en"/>
      <w14:ligatures w14:val="none"/>
    </w:rPr>
  </w:style>
  <w:style w:type="character" w:customStyle="1" w:styleId="Heading3Char">
    <w:name w:val="Heading 3 Char"/>
    <w:basedOn w:val="DefaultParagraphFont"/>
    <w:link w:val="Heading3"/>
    <w:uiPriority w:val="9"/>
    <w:rsid w:val="002F648F"/>
    <w:rPr>
      <w:rFonts w:ascii="Times New Roman" w:eastAsia="Arial" w:hAnsi="Times New Roman" w:cs="Times New Roman"/>
      <w:i/>
      <w:kern w:val="0"/>
      <w:sz w:val="24"/>
      <w:szCs w:val="24"/>
      <w:lang w:val="en"/>
      <w14:ligatures w14:val="none"/>
    </w:rPr>
  </w:style>
  <w:style w:type="paragraph" w:styleId="ListParagraph">
    <w:name w:val="List Paragraph"/>
    <w:basedOn w:val="Normal"/>
    <w:uiPriority w:val="34"/>
    <w:qFormat/>
    <w:rsid w:val="002F648F"/>
    <w:pPr>
      <w:spacing w:after="0" w:line="276" w:lineRule="auto"/>
      <w:ind w:left="720"/>
      <w:contextualSpacing/>
      <w:jc w:val="left"/>
    </w:pPr>
    <w:rPr>
      <w:rFonts w:ascii="Arial" w:eastAsia="Arial" w:hAnsi="Arial" w:cs="Arial"/>
      <w:lang w:val="en"/>
    </w:rPr>
  </w:style>
  <w:style w:type="paragraph" w:styleId="FootnoteText">
    <w:name w:val="footnote text"/>
    <w:aliases w:val="Tablenote Text,ft,Footnote Text - Ann indent,Texto nota pie Car Car Car Car,fn,Footnote Text Char1,Footnote Text Char Char,Footnote Text Char1 Char Char,Footnote Text Char Char1 Char Char,Footnote Text Char1 Char Char Char Char,Footnotes"/>
    <w:basedOn w:val="Normal"/>
    <w:link w:val="FootnoteTextChar"/>
    <w:uiPriority w:val="99"/>
    <w:unhideWhenUsed/>
    <w:qFormat/>
    <w:rsid w:val="002F648F"/>
    <w:pPr>
      <w:spacing w:after="0" w:line="240" w:lineRule="auto"/>
      <w:jc w:val="left"/>
    </w:pPr>
    <w:rPr>
      <w:rFonts w:ascii="Times New Roman" w:eastAsia="Arial" w:hAnsi="Times New Roman" w:cs="Times New Roman"/>
      <w:sz w:val="20"/>
      <w:szCs w:val="20"/>
    </w:rPr>
  </w:style>
  <w:style w:type="character" w:customStyle="1" w:styleId="FootnoteTextChar">
    <w:name w:val="Footnote Text Char"/>
    <w:aliases w:val="Tablenote Text Char,ft Char,Footnote Text - Ann indent Char,Texto nota pie Car Car Car Car Char,fn Char,Footnote Text Char1 Char,Footnote Text Char Char Char,Footnote Text Char1 Char Char Char,Footnote Text Char Char1 Char Char Char"/>
    <w:basedOn w:val="DefaultParagraphFont"/>
    <w:link w:val="FootnoteText"/>
    <w:uiPriority w:val="99"/>
    <w:rsid w:val="002F648F"/>
    <w:rPr>
      <w:rFonts w:ascii="Times New Roman" w:eastAsia="Arial" w:hAnsi="Times New Roman" w:cs="Times New Roman"/>
      <w:kern w:val="0"/>
      <w:sz w:val="20"/>
      <w:szCs w:val="20"/>
      <w14:ligatures w14:val="none"/>
    </w:rPr>
  </w:style>
  <w:style w:type="character" w:styleId="FootnoteReference">
    <w:name w:val="footnote reference"/>
    <w:aliases w:val="callout,fr,Ref,de nota al pie"/>
    <w:basedOn w:val="DefaultParagraphFont"/>
    <w:uiPriority w:val="99"/>
    <w:unhideWhenUsed/>
    <w:qFormat/>
    <w:rsid w:val="002F648F"/>
    <w:rPr>
      <w:vertAlign w:val="superscript"/>
    </w:rPr>
  </w:style>
  <w:style w:type="paragraph" w:styleId="CommentSubject">
    <w:name w:val="annotation subject"/>
    <w:basedOn w:val="CommentText"/>
    <w:next w:val="CommentText"/>
    <w:link w:val="CommentSubjectChar"/>
    <w:uiPriority w:val="99"/>
    <w:semiHidden/>
    <w:unhideWhenUsed/>
    <w:rsid w:val="00146310"/>
    <w:rPr>
      <w:b/>
      <w:bCs/>
    </w:rPr>
  </w:style>
  <w:style w:type="character" w:customStyle="1" w:styleId="CommentSubjectChar">
    <w:name w:val="Comment Subject Char"/>
    <w:basedOn w:val="CommentTextChar"/>
    <w:link w:val="CommentSubject"/>
    <w:uiPriority w:val="99"/>
    <w:semiHidden/>
    <w:rsid w:val="00146310"/>
    <w:rPr>
      <w:b/>
      <w:bCs/>
      <w:kern w:val="0"/>
      <w:sz w:val="20"/>
      <w:szCs w:val="20"/>
      <w14:ligatures w14:val="none"/>
    </w:rPr>
  </w:style>
  <w:style w:type="paragraph" w:styleId="Revision">
    <w:name w:val="Revision"/>
    <w:hidden/>
    <w:uiPriority w:val="99"/>
    <w:semiHidden/>
    <w:rsid w:val="009D4B08"/>
    <w:pPr>
      <w:spacing w:after="0" w:line="240" w:lineRule="auto"/>
    </w:pPr>
    <w:rPr>
      <w:kern w:val="0"/>
      <w14:ligatures w14:val="none"/>
    </w:rPr>
  </w:style>
  <w:style w:type="character" w:styleId="UnresolvedMention">
    <w:name w:val="Unresolved Mention"/>
    <w:basedOn w:val="DefaultParagraphFont"/>
    <w:uiPriority w:val="99"/>
    <w:semiHidden/>
    <w:unhideWhenUsed/>
    <w:rsid w:val="00531F58"/>
    <w:rPr>
      <w:color w:val="605E5C"/>
      <w:shd w:val="clear" w:color="auto" w:fill="E1DFDD"/>
    </w:rPr>
  </w:style>
  <w:style w:type="paragraph" w:styleId="Header">
    <w:name w:val="header"/>
    <w:basedOn w:val="Normal"/>
    <w:link w:val="HeaderChar"/>
    <w:uiPriority w:val="99"/>
    <w:unhideWhenUsed/>
    <w:rsid w:val="001F3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EF"/>
    <w:rPr>
      <w:kern w:val="0"/>
      <w14:ligatures w14:val="none"/>
    </w:rPr>
  </w:style>
  <w:style w:type="paragraph" w:styleId="Footer">
    <w:name w:val="footer"/>
    <w:basedOn w:val="Normal"/>
    <w:link w:val="FooterChar"/>
    <w:uiPriority w:val="99"/>
    <w:unhideWhenUsed/>
    <w:rsid w:val="001F3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healthproject.org/trans-health-insurance-tutorial/understanding-your-plan/" TargetMode="External"/><Relationship Id="rId3" Type="http://schemas.openxmlformats.org/officeDocument/2006/relationships/settings" Target="settings.xml"/><Relationship Id="rId7" Type="http://schemas.openxmlformats.org/officeDocument/2006/relationships/hyperlink" Target="https://transhealth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nshealthproject.org/tools/medical-necessity-literature-review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path.org/soc8/Methodology" TargetMode="External"/><Relationship Id="rId2" Type="http://schemas.openxmlformats.org/officeDocument/2006/relationships/hyperlink" Target="https://www.wpath.org/media/cms/Documents/SOC%20v7/SOC%20V7_English2012.pdf?_t=1613669341" TargetMode="External"/><Relationship Id="rId1" Type="http://schemas.openxmlformats.org/officeDocument/2006/relationships/hyperlink" Target="https://whatweknow.inequality.cornell.edu/topics/lgbt-equality/what-does-the-scholarly-research-say-about-the-well-being-of-transgender-people/" TargetMode="External"/><Relationship Id="rId4" Type="http://schemas.openxmlformats.org/officeDocument/2006/relationships/hyperlink" Target="https://transhealthproject.org/resources/medical-organization-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Fiadh McKenna</dc:creator>
  <cp:keywords/>
  <dc:description/>
  <cp:lastModifiedBy>Cathy Zhang</cp:lastModifiedBy>
  <cp:revision>13</cp:revision>
  <dcterms:created xsi:type="dcterms:W3CDTF">2023-12-11T15:20:00Z</dcterms:created>
  <dcterms:modified xsi:type="dcterms:W3CDTF">2024-12-19T15:15:00Z</dcterms:modified>
</cp:coreProperties>
</file>